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32C6" w14:textId="002C79D6" w:rsidR="001D62B9" w:rsidRDefault="00966115" w:rsidP="00642986">
      <w:pPr>
        <w:jc w:val="center"/>
        <w:rPr>
          <w:rFonts w:ascii="Times New Roman" w:hAnsi="Times New Roman" w:cs="Times New Roman"/>
          <w:sz w:val="24"/>
          <w:szCs w:val="24"/>
        </w:rPr>
      </w:pPr>
      <w:r w:rsidRPr="00966115">
        <w:rPr>
          <w:rFonts w:ascii="Calibri" w:hAnsi="Calibri"/>
          <w:b/>
          <w:bCs/>
          <w:color w:val="1F497D"/>
          <w:sz w:val="28"/>
          <w:szCs w:val="28"/>
        </w:rPr>
        <w:t xml:space="preserve">Dawson James Securities </w:t>
      </w:r>
      <w:r>
        <w:rPr>
          <w:rFonts w:ascii="Calibri" w:hAnsi="Calibri"/>
          <w:b/>
          <w:bCs/>
          <w:color w:val="1F497D"/>
          <w:sz w:val="28"/>
          <w:szCs w:val="28"/>
        </w:rPr>
        <w:t>A</w:t>
      </w:r>
      <w:r w:rsidRPr="00966115">
        <w:rPr>
          <w:rFonts w:ascii="Calibri" w:hAnsi="Calibri"/>
          <w:b/>
          <w:bCs/>
          <w:color w:val="1F497D"/>
          <w:sz w:val="28"/>
          <w:szCs w:val="28"/>
        </w:rPr>
        <w:t xml:space="preserve">nnounces </w:t>
      </w:r>
      <w:r w:rsidR="00C90C7C">
        <w:rPr>
          <w:rFonts w:ascii="Calibri" w:hAnsi="Calibri"/>
          <w:b/>
          <w:bCs/>
          <w:color w:val="1F497D"/>
          <w:sz w:val="28"/>
          <w:szCs w:val="28"/>
        </w:rPr>
        <w:t xml:space="preserve">Closing of $5 Million Public Offering for Sonoma Pharmaceuticals, Inc. </w:t>
      </w:r>
    </w:p>
    <w:p w14:paraId="63DBBE9D" w14:textId="77777777" w:rsidR="001D62B9" w:rsidRDefault="001D62B9" w:rsidP="00642986">
      <w:pPr>
        <w:jc w:val="center"/>
        <w:rPr>
          <w:rFonts w:ascii="Times New Roman" w:hAnsi="Times New Roman" w:cs="Times New Roman"/>
          <w:sz w:val="24"/>
          <w:szCs w:val="24"/>
        </w:rPr>
      </w:pPr>
    </w:p>
    <w:p w14:paraId="5103834B" w14:textId="77777777" w:rsidR="00C65734" w:rsidRDefault="00C65734" w:rsidP="004E2ED5">
      <w:pPr>
        <w:spacing w:after="0" w:line="240" w:lineRule="auto"/>
        <w:rPr>
          <w:rFonts w:ascii="Times New Roman" w:hAnsi="Times New Roman" w:cs="Times New Roman"/>
          <w:sz w:val="24"/>
          <w:szCs w:val="24"/>
        </w:rPr>
      </w:pPr>
    </w:p>
    <w:p w14:paraId="0ED0A672" w14:textId="77777777" w:rsidR="00C65734" w:rsidRPr="00EC58FA" w:rsidRDefault="00895C4A" w:rsidP="004E2ED5">
      <w:pPr>
        <w:spacing w:after="0" w:line="240" w:lineRule="auto"/>
        <w:rPr>
          <w:rFonts w:asciiTheme="majorHAnsi" w:hAnsiTheme="majorHAnsi"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7016D120" wp14:editId="36619B75">
                <wp:simplePos x="0" y="0"/>
                <wp:positionH relativeFrom="margin">
                  <wp:posOffset>-228600</wp:posOffset>
                </wp:positionH>
                <wp:positionV relativeFrom="paragraph">
                  <wp:posOffset>7619</wp:posOffset>
                </wp:positionV>
                <wp:extent cx="64008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7FF38" id="_x0000_t32" coordsize="21600,21600" o:spt="32" o:oned="t" path="m,l21600,21600e" filled="f">
                <v:path arrowok="t" fillok="f" o:connecttype="none"/>
                <o:lock v:ext="edit" shapetype="t"/>
              </v:shapetype>
              <v:shape id="AutoShape 2" o:spid="_x0000_s1026" type="#_x0000_t32" style="position:absolute;margin-left:-18pt;margin-top:.6pt;width:7in;height:0;flip:x;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10JAIAAEU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DjL03Sewgzp1ZeQIkCERGOd/8B1h4JRYuctEfvWV1op&#10;kIC2Azw5PjkfCP5KCMlKb4SUUQlSob7Ei+lkGvk4LQULzhDm7H5XSYuOJGgpfrFa8NyHWX1QLIK1&#10;nLD1xfZEyMGGy6UKeFAY0LlYg1i+L9LFer6e56N8MluP8rSuR4+bKh/NNtn7af2urqo6+xGoZXnR&#10;Csa4Cuyuws3yvxPG5QkNkrtJ99aG5DV67BeQvf4j6TjjMNZBIDvNzlt7nT1oNQZf3lV4DPd7sO9f&#10;/+onAAAA//8DAFBLAwQUAAYACAAAACEAFN131NsAAAAHAQAADwAAAGRycy9kb3ducmV2LnhtbEyP&#10;QU+DQBCF7yb+h82YeGuXoqEtZWkaE40HQ2LV+5YdAcvOUnYL9N87etHjyzd575tsO9lWDNj7xpGC&#10;xTwCgVQ601Cl4P3tcbYC4YMmo1tHqOCCHrb59VWmU+NGesVhHyrBJeRTraAOoUul9GWNVvu565CY&#10;fbre6sCxr6Tp9cjltpVxFCXS6oZ4odYdPtRYHvdnq+BEy8vHvRxWX0URkqfnl4qwGJW6vZl2GxAB&#10;p/B3DD/6rA45Ox3cmYwXrYLZXcK/BAYxCObrZcz58Jtlnsn//vk3AAAA//8DAFBLAQItABQABgAI&#10;AAAAIQC2gziS/gAAAOEBAAATAAAAAAAAAAAAAAAAAAAAAABbQ29udGVudF9UeXBlc10ueG1sUEsB&#10;Ai0AFAAGAAgAAAAhADj9If/WAAAAlAEAAAsAAAAAAAAAAAAAAAAALwEAAF9yZWxzLy5yZWxzUEsB&#10;Ai0AFAAGAAgAAAAhAMbqrXQkAgAARQQAAA4AAAAAAAAAAAAAAAAALgIAAGRycy9lMm9Eb2MueG1s&#10;UEsBAi0AFAAGAAgAAAAhABTdd9TbAAAABwEAAA8AAAAAAAAAAAAAAAAAfgQAAGRycy9kb3ducmV2&#10;LnhtbFBLBQYAAAAABAAEAPMAAACGBQAAAAA=&#10;">
                <w10:wrap anchorx="margin"/>
              </v:shape>
            </w:pict>
          </mc:Fallback>
        </mc:AlternateContent>
      </w:r>
    </w:p>
    <w:p w14:paraId="758E20DA" w14:textId="5FFF74F2" w:rsidR="001562BE" w:rsidRDefault="00D868AF" w:rsidP="006C2BBB">
      <w:pPr>
        <w:autoSpaceDE w:val="0"/>
        <w:autoSpaceDN w:val="0"/>
        <w:adjustRightInd w:val="0"/>
        <w:spacing w:after="0" w:line="240" w:lineRule="auto"/>
        <w:jc w:val="both"/>
        <w:rPr>
          <w:rFonts w:cs="ArialMT"/>
          <w:sz w:val="24"/>
          <w:szCs w:val="24"/>
        </w:rPr>
      </w:pPr>
      <w:r w:rsidRPr="00B80871">
        <w:rPr>
          <w:rFonts w:cs="Aparajita"/>
          <w:b/>
          <w:sz w:val="24"/>
          <w:szCs w:val="24"/>
        </w:rPr>
        <w:t xml:space="preserve">Boca Raton, FL, </w:t>
      </w:r>
      <w:r w:rsidR="00C90C7C">
        <w:rPr>
          <w:rFonts w:cs="Aparajita"/>
          <w:b/>
          <w:sz w:val="24"/>
          <w:szCs w:val="24"/>
        </w:rPr>
        <w:t xml:space="preserve">March </w:t>
      </w:r>
      <w:r w:rsidR="00656B59">
        <w:rPr>
          <w:rFonts w:cs="Aparajita"/>
          <w:b/>
          <w:sz w:val="24"/>
          <w:szCs w:val="24"/>
        </w:rPr>
        <w:t>7</w:t>
      </w:r>
      <w:r w:rsidR="0092032B">
        <w:rPr>
          <w:rFonts w:cs="Aparajita"/>
          <w:b/>
          <w:sz w:val="24"/>
          <w:szCs w:val="24"/>
        </w:rPr>
        <w:t>,</w:t>
      </w:r>
      <w:r w:rsidR="00656B59">
        <w:rPr>
          <w:rFonts w:cs="Aparajita"/>
          <w:b/>
          <w:sz w:val="24"/>
          <w:szCs w:val="24"/>
        </w:rPr>
        <w:t xml:space="preserve"> </w:t>
      </w:r>
      <w:r w:rsidR="00C90C7C">
        <w:rPr>
          <w:rFonts w:cs="Aparajita"/>
          <w:b/>
          <w:sz w:val="24"/>
          <w:szCs w:val="24"/>
        </w:rPr>
        <w:t>2018</w:t>
      </w:r>
      <w:r w:rsidRPr="00B80871">
        <w:rPr>
          <w:rFonts w:cs="Aparajita"/>
          <w:sz w:val="24"/>
          <w:szCs w:val="24"/>
        </w:rPr>
        <w:t>--</w:t>
      </w:r>
      <w:r w:rsidRPr="00B80871">
        <w:rPr>
          <w:rFonts w:cs="ArialMT"/>
          <w:sz w:val="24"/>
          <w:szCs w:val="24"/>
        </w:rPr>
        <w:t xml:space="preserve"> </w:t>
      </w:r>
      <w:r w:rsidR="00B535ED">
        <w:rPr>
          <w:rFonts w:cs="ArialMT"/>
          <w:sz w:val="24"/>
          <w:szCs w:val="24"/>
        </w:rPr>
        <w:t>D</w:t>
      </w:r>
      <w:r w:rsidRPr="00B80871">
        <w:rPr>
          <w:rFonts w:cs="ArialMT"/>
          <w:sz w:val="24"/>
          <w:szCs w:val="24"/>
        </w:rPr>
        <w:t xml:space="preserve">awson James Securities, Inc. in conjunction with </w:t>
      </w:r>
      <w:r w:rsidR="00C90C7C">
        <w:rPr>
          <w:rFonts w:cs="ArialMT"/>
          <w:sz w:val="24"/>
          <w:szCs w:val="24"/>
        </w:rPr>
        <w:t xml:space="preserve">Sonoma Pharmaceuticals, Inc. (NASDAQ:  SNOA, Warrants – SNOAW) today announced the </w:t>
      </w:r>
      <w:r w:rsidR="0092032B">
        <w:rPr>
          <w:rFonts w:cs="ArialMT"/>
          <w:sz w:val="24"/>
          <w:szCs w:val="24"/>
        </w:rPr>
        <w:t>March 6</w:t>
      </w:r>
      <w:r w:rsidR="0092032B" w:rsidRPr="0092032B">
        <w:rPr>
          <w:rFonts w:cs="ArialMT"/>
          <w:sz w:val="24"/>
          <w:szCs w:val="24"/>
          <w:vertAlign w:val="superscript"/>
        </w:rPr>
        <w:t>th</w:t>
      </w:r>
      <w:r w:rsidR="0092032B">
        <w:rPr>
          <w:rFonts w:cs="ArialMT"/>
          <w:sz w:val="24"/>
          <w:szCs w:val="24"/>
        </w:rPr>
        <w:t xml:space="preserve"> </w:t>
      </w:r>
      <w:bookmarkStart w:id="0" w:name="_GoBack"/>
      <w:bookmarkEnd w:id="0"/>
      <w:r w:rsidR="00C90C7C">
        <w:rPr>
          <w:rFonts w:cs="ArialMT"/>
          <w:sz w:val="24"/>
          <w:szCs w:val="24"/>
        </w:rPr>
        <w:t>closing of a public offering of 1,428,570 shares of common stock at a</w:t>
      </w:r>
      <w:r w:rsidR="00452ABA">
        <w:rPr>
          <w:rFonts w:cs="ArialMT"/>
          <w:sz w:val="24"/>
          <w:szCs w:val="24"/>
        </w:rPr>
        <w:t>n</w:t>
      </w:r>
      <w:r w:rsidR="00C90C7C">
        <w:rPr>
          <w:rFonts w:cs="ArialMT"/>
          <w:sz w:val="24"/>
          <w:szCs w:val="24"/>
        </w:rPr>
        <w:t xml:space="preserve"> offering price of $3.50</w:t>
      </w:r>
      <w:r w:rsidR="004A5287">
        <w:rPr>
          <w:rFonts w:cs="ArialMT"/>
          <w:sz w:val="24"/>
          <w:szCs w:val="24"/>
        </w:rPr>
        <w:t xml:space="preserve">. </w:t>
      </w:r>
      <w:r w:rsidR="00773EE8">
        <w:rPr>
          <w:rFonts w:cs="ArialMT"/>
          <w:sz w:val="24"/>
          <w:szCs w:val="24"/>
        </w:rPr>
        <w:t xml:space="preserve">  </w:t>
      </w:r>
      <w:r w:rsidR="004A5287">
        <w:rPr>
          <w:rFonts w:cs="ArialMT"/>
          <w:sz w:val="24"/>
          <w:szCs w:val="24"/>
        </w:rPr>
        <w:t xml:space="preserve">SNOA Nasdaq closing bid on the day of pricing was $3.51.  </w:t>
      </w:r>
    </w:p>
    <w:p w14:paraId="688F494C" w14:textId="77777777" w:rsidR="001562BE" w:rsidRDefault="001562BE" w:rsidP="006C2BBB">
      <w:pPr>
        <w:autoSpaceDE w:val="0"/>
        <w:autoSpaceDN w:val="0"/>
        <w:adjustRightInd w:val="0"/>
        <w:spacing w:after="0" w:line="240" w:lineRule="auto"/>
        <w:jc w:val="both"/>
        <w:rPr>
          <w:rFonts w:cs="ArialMT"/>
          <w:sz w:val="24"/>
          <w:szCs w:val="24"/>
        </w:rPr>
      </w:pPr>
    </w:p>
    <w:p w14:paraId="189AC381" w14:textId="77777777" w:rsidR="00C90C7C" w:rsidRDefault="00C90C7C" w:rsidP="006C2BBB">
      <w:pPr>
        <w:autoSpaceDE w:val="0"/>
        <w:autoSpaceDN w:val="0"/>
        <w:adjustRightInd w:val="0"/>
        <w:spacing w:after="0" w:line="240" w:lineRule="auto"/>
        <w:jc w:val="both"/>
        <w:rPr>
          <w:rFonts w:cs="ArialMT"/>
          <w:sz w:val="24"/>
          <w:szCs w:val="24"/>
        </w:rPr>
      </w:pPr>
      <w:r>
        <w:rPr>
          <w:rFonts w:cs="ArialMT"/>
          <w:sz w:val="24"/>
          <w:szCs w:val="24"/>
        </w:rPr>
        <w:t xml:space="preserve">The net proceeds to Sonoma Pharmaceuticals, Inc., from this offering are approximately $4.6 million and will be used for general working capital purposes.  </w:t>
      </w:r>
    </w:p>
    <w:p w14:paraId="46E863F8" w14:textId="77777777" w:rsidR="00C90C7C" w:rsidRDefault="00C90C7C" w:rsidP="006C2BBB">
      <w:pPr>
        <w:autoSpaceDE w:val="0"/>
        <w:autoSpaceDN w:val="0"/>
        <w:adjustRightInd w:val="0"/>
        <w:spacing w:after="0" w:line="240" w:lineRule="auto"/>
        <w:jc w:val="both"/>
        <w:rPr>
          <w:rFonts w:cs="ArialMT"/>
          <w:sz w:val="24"/>
          <w:szCs w:val="24"/>
        </w:rPr>
      </w:pPr>
    </w:p>
    <w:p w14:paraId="221940ED" w14:textId="24F14C3F" w:rsidR="001D62B9" w:rsidRDefault="00C90C7C" w:rsidP="006C2BBB">
      <w:pPr>
        <w:autoSpaceDE w:val="0"/>
        <w:autoSpaceDN w:val="0"/>
        <w:adjustRightInd w:val="0"/>
        <w:spacing w:after="0" w:line="240" w:lineRule="auto"/>
        <w:jc w:val="both"/>
        <w:rPr>
          <w:rFonts w:cs="ArialMT"/>
          <w:sz w:val="24"/>
          <w:szCs w:val="24"/>
        </w:rPr>
      </w:pPr>
      <w:r>
        <w:rPr>
          <w:rFonts w:cs="ArialMT"/>
          <w:sz w:val="24"/>
          <w:szCs w:val="24"/>
        </w:rPr>
        <w:t xml:space="preserve">Dawson James Securities, Inc., utilized it’s proprietary “Diversified Investor Offering™ (DIO)” </w:t>
      </w:r>
      <w:r w:rsidR="001D62B9">
        <w:rPr>
          <w:rFonts w:cs="ArialMT"/>
          <w:sz w:val="24"/>
          <w:szCs w:val="24"/>
        </w:rPr>
        <w:t xml:space="preserve">which includes both fundamental institutional investors alongside the firm’s retail and family office network.  This transaction was led by Montreux Equity Partners, a firm that has significant experience investing in dermatology and specialty pharmaceutical companies.   </w:t>
      </w:r>
    </w:p>
    <w:p w14:paraId="4E514F29" w14:textId="77777777" w:rsidR="001D62B9" w:rsidRDefault="001D62B9" w:rsidP="006C2BBB">
      <w:pPr>
        <w:autoSpaceDE w:val="0"/>
        <w:autoSpaceDN w:val="0"/>
        <w:adjustRightInd w:val="0"/>
        <w:spacing w:after="0" w:line="240" w:lineRule="auto"/>
        <w:jc w:val="both"/>
        <w:rPr>
          <w:rFonts w:cs="ArialMT"/>
          <w:sz w:val="24"/>
          <w:szCs w:val="24"/>
        </w:rPr>
      </w:pPr>
    </w:p>
    <w:p w14:paraId="5BFBDD6C" w14:textId="77C772AA" w:rsidR="00B535ED" w:rsidRDefault="00C90C7C" w:rsidP="006C2BBB">
      <w:pPr>
        <w:autoSpaceDE w:val="0"/>
        <w:autoSpaceDN w:val="0"/>
        <w:adjustRightInd w:val="0"/>
        <w:spacing w:after="0" w:line="240" w:lineRule="auto"/>
        <w:jc w:val="both"/>
        <w:rPr>
          <w:rFonts w:cs="ArialMT"/>
          <w:sz w:val="24"/>
          <w:szCs w:val="24"/>
        </w:rPr>
      </w:pPr>
      <w:r>
        <w:rPr>
          <w:rFonts w:cs="ArialMT"/>
          <w:sz w:val="24"/>
          <w:szCs w:val="24"/>
        </w:rPr>
        <w:t xml:space="preserve">Dawson James Securities, Inc. acted as the lead placement agent and sole book runner and The Benchmark Company, LLC acted as the co-placement agent on this offering.  </w:t>
      </w:r>
      <w:r w:rsidR="006C2DBD">
        <w:rPr>
          <w:rFonts w:cs="ArialMT"/>
          <w:sz w:val="24"/>
          <w:szCs w:val="24"/>
        </w:rPr>
        <w:t xml:space="preserve"> </w:t>
      </w:r>
    </w:p>
    <w:p w14:paraId="686A58E4" w14:textId="77777777" w:rsidR="00B535ED" w:rsidRDefault="00B535ED" w:rsidP="006C2BBB">
      <w:pPr>
        <w:autoSpaceDE w:val="0"/>
        <w:autoSpaceDN w:val="0"/>
        <w:adjustRightInd w:val="0"/>
        <w:spacing w:after="0" w:line="240" w:lineRule="auto"/>
        <w:jc w:val="both"/>
        <w:rPr>
          <w:rFonts w:cs="ArialMT"/>
          <w:sz w:val="24"/>
          <w:szCs w:val="24"/>
        </w:rPr>
      </w:pPr>
    </w:p>
    <w:p w14:paraId="475489D6" w14:textId="43472181" w:rsidR="00642986" w:rsidRDefault="00642986" w:rsidP="006C2BBB">
      <w:pPr>
        <w:pStyle w:val="NoSpacing"/>
        <w:jc w:val="both"/>
        <w:rPr>
          <w:sz w:val="24"/>
          <w:szCs w:val="24"/>
        </w:rPr>
      </w:pPr>
      <w:r w:rsidRPr="00642986">
        <w:rPr>
          <w:sz w:val="24"/>
          <w:szCs w:val="24"/>
        </w:rPr>
        <w:t xml:space="preserve">This offering was made pursuant to an effective shelf registration statement on Form S-3 (File No. 333-221477) previously filed with the Securities and Exchange Commission (“SEC”) and subsequently declared effective on November 27, 2017.  A preliminary prospectus supplement, and a final prospectus supplement relating to the offering were filed, with the Securities and Exchange Commission. The securities may be offered only by means of a written prospectus forming a part of the effective registration statement. Copies of the final prospectus supplement and accompanying prospectus are available on the SEC’s website at www.sec.gov, or may be obtained by contacting Dawson James Securities, Inc., Attention: Prospectus Department, 1 North Federal Highway, 5th Floor, Boca Raton, FL 33432, mmaclaren@dawsonjames.com or toll free at 866.928.0928.  </w:t>
      </w:r>
    </w:p>
    <w:p w14:paraId="1ADD29E8" w14:textId="319D6D2B" w:rsidR="007716FB" w:rsidRDefault="007716FB" w:rsidP="006C2BBB">
      <w:pPr>
        <w:pStyle w:val="NoSpacing"/>
        <w:jc w:val="both"/>
        <w:rPr>
          <w:sz w:val="24"/>
          <w:szCs w:val="24"/>
        </w:rPr>
      </w:pPr>
    </w:p>
    <w:p w14:paraId="7F71D3D3" w14:textId="4CD83140" w:rsidR="007716FB" w:rsidRDefault="007716FB" w:rsidP="006C2BBB">
      <w:pPr>
        <w:pStyle w:val="NoSpacing"/>
        <w:jc w:val="both"/>
        <w:rPr>
          <w:sz w:val="24"/>
          <w:szCs w:val="24"/>
        </w:rPr>
      </w:pPr>
    </w:p>
    <w:p w14:paraId="1CE637CC" w14:textId="46F754E4" w:rsidR="007716FB" w:rsidRDefault="007716FB" w:rsidP="006C2BBB">
      <w:pPr>
        <w:pStyle w:val="NoSpacing"/>
        <w:jc w:val="both"/>
        <w:rPr>
          <w:sz w:val="24"/>
          <w:szCs w:val="24"/>
        </w:rPr>
      </w:pPr>
    </w:p>
    <w:p w14:paraId="1980891F" w14:textId="73191904" w:rsidR="007716FB" w:rsidRDefault="007716FB" w:rsidP="006C2BBB">
      <w:pPr>
        <w:pStyle w:val="NoSpacing"/>
        <w:jc w:val="both"/>
        <w:rPr>
          <w:sz w:val="24"/>
          <w:szCs w:val="24"/>
        </w:rPr>
      </w:pPr>
    </w:p>
    <w:p w14:paraId="24E1957B" w14:textId="7D30603A" w:rsidR="007716FB" w:rsidRDefault="007716FB" w:rsidP="006C2BBB">
      <w:pPr>
        <w:pStyle w:val="NoSpacing"/>
        <w:jc w:val="both"/>
        <w:rPr>
          <w:sz w:val="24"/>
          <w:szCs w:val="24"/>
        </w:rPr>
      </w:pPr>
    </w:p>
    <w:p w14:paraId="43E89B63" w14:textId="77777777" w:rsidR="007716FB" w:rsidRPr="00642986" w:rsidRDefault="007716FB" w:rsidP="006C2BBB">
      <w:pPr>
        <w:pStyle w:val="NoSpacing"/>
        <w:jc w:val="both"/>
        <w:rPr>
          <w:sz w:val="24"/>
          <w:szCs w:val="24"/>
        </w:rPr>
      </w:pPr>
    </w:p>
    <w:p w14:paraId="150FB3DB" w14:textId="77777777" w:rsidR="00642986" w:rsidRPr="00642986" w:rsidRDefault="00642986" w:rsidP="006C2BBB">
      <w:pPr>
        <w:autoSpaceDE w:val="0"/>
        <w:autoSpaceDN w:val="0"/>
        <w:adjustRightInd w:val="0"/>
        <w:jc w:val="both"/>
        <w:rPr>
          <w:color w:val="000000"/>
          <w:sz w:val="24"/>
          <w:szCs w:val="24"/>
        </w:rPr>
      </w:pPr>
    </w:p>
    <w:p w14:paraId="0B50FBBB" w14:textId="77777777" w:rsidR="00642986" w:rsidRPr="009124E2" w:rsidRDefault="00642986" w:rsidP="006C2BBB">
      <w:pPr>
        <w:widowControl w:val="0"/>
        <w:autoSpaceDE w:val="0"/>
        <w:autoSpaceDN w:val="0"/>
        <w:adjustRightInd w:val="0"/>
        <w:jc w:val="both"/>
        <w:rPr>
          <w:b/>
          <w:bCs/>
        </w:rPr>
      </w:pPr>
      <w:r w:rsidRPr="009124E2">
        <w:rPr>
          <w:b/>
          <w:bCs/>
        </w:rPr>
        <w:lastRenderedPageBreak/>
        <w:t xml:space="preserve">About </w:t>
      </w:r>
      <w:r>
        <w:rPr>
          <w:b/>
          <w:bCs/>
        </w:rPr>
        <w:t xml:space="preserve">Sonoma Pharmaceuticals </w:t>
      </w:r>
    </w:p>
    <w:p w14:paraId="5D5B5916" w14:textId="77777777" w:rsidR="001D62B9" w:rsidRDefault="00642986" w:rsidP="006C2BBB">
      <w:pPr>
        <w:jc w:val="both"/>
        <w:rPr>
          <w:bCs/>
        </w:rPr>
      </w:pPr>
      <w:r>
        <w:rPr>
          <w:bCs/>
        </w:rPr>
        <w:t>Sonoma Pharmaceuticals</w:t>
      </w:r>
      <w:r w:rsidRPr="00746009">
        <w:rPr>
          <w:bCs/>
        </w:rPr>
        <w:t xml:space="preserve"> is a specialty pharmaceutical company that develops and markets solutions for the treatment of dermatological conditions and advanced tissue care. The </w:t>
      </w:r>
      <w:r>
        <w:rPr>
          <w:bCs/>
        </w:rPr>
        <w:t>c</w:t>
      </w:r>
      <w:r w:rsidRPr="00746009">
        <w:rPr>
          <w:bCs/>
        </w:rPr>
        <w:t>ompany’s products, which are sold throughout the United States and internationally, have improved outcomes for more than five million patients globally by reducing infections, itch, pain, scarring and harmful</w:t>
      </w:r>
      <w:r>
        <w:rPr>
          <w:bCs/>
        </w:rPr>
        <w:t xml:space="preserve"> </w:t>
      </w:r>
      <w:r w:rsidRPr="00746009">
        <w:rPr>
          <w:bCs/>
        </w:rPr>
        <w:t xml:space="preserve">inflammatory responses. </w:t>
      </w:r>
    </w:p>
    <w:p w14:paraId="7D152B18" w14:textId="77777777" w:rsidR="001D62B9" w:rsidRDefault="001D62B9" w:rsidP="006C2BBB">
      <w:pPr>
        <w:jc w:val="both"/>
        <w:rPr>
          <w:bCs/>
        </w:rPr>
      </w:pPr>
    </w:p>
    <w:p w14:paraId="3CD5F0F4" w14:textId="14758FAA" w:rsidR="00642986" w:rsidRPr="00746009" w:rsidRDefault="00642986" w:rsidP="006C2BBB">
      <w:pPr>
        <w:jc w:val="both"/>
        <w:rPr>
          <w:bCs/>
        </w:rPr>
      </w:pPr>
      <w:r w:rsidRPr="00746009">
        <w:rPr>
          <w:bCs/>
        </w:rPr>
        <w:t xml:space="preserve">The </w:t>
      </w:r>
      <w:r>
        <w:rPr>
          <w:bCs/>
        </w:rPr>
        <w:t>c</w:t>
      </w:r>
      <w:r w:rsidRPr="00746009">
        <w:rPr>
          <w:bCs/>
        </w:rPr>
        <w:t xml:space="preserve">ompany's headquarters are in Petaluma, California, with manufacturing operations in the United States and Latin America. European marketing and sales are headquartered in </w:t>
      </w:r>
      <w:proofErr w:type="spellStart"/>
      <w:r w:rsidRPr="00746009">
        <w:rPr>
          <w:bCs/>
        </w:rPr>
        <w:t>Roermond</w:t>
      </w:r>
      <w:proofErr w:type="spellEnd"/>
      <w:r w:rsidRPr="00746009">
        <w:rPr>
          <w:bCs/>
        </w:rPr>
        <w:t xml:space="preserve">, Netherlands. More information can be found at </w:t>
      </w:r>
      <w:hyperlink r:id="rId6" w:history="1">
        <w:r w:rsidRPr="000D5D6C">
          <w:rPr>
            <w:rStyle w:val="Hyperlink"/>
            <w:bCs/>
          </w:rPr>
          <w:t>www.sonomapharma.com</w:t>
        </w:r>
      </w:hyperlink>
      <w:r>
        <w:rPr>
          <w:bCs/>
        </w:rPr>
        <w:t>.</w:t>
      </w:r>
    </w:p>
    <w:p w14:paraId="7D0F3DF7" w14:textId="77777777" w:rsidR="00B535ED" w:rsidRDefault="00B535ED" w:rsidP="006C2BBB">
      <w:pPr>
        <w:spacing w:after="0" w:line="240" w:lineRule="auto"/>
        <w:jc w:val="both"/>
        <w:rPr>
          <w:rFonts w:cs="Aparajita"/>
          <w:b/>
          <w:sz w:val="24"/>
          <w:szCs w:val="24"/>
        </w:rPr>
      </w:pPr>
    </w:p>
    <w:p w14:paraId="5BB560EE" w14:textId="77777777" w:rsidR="00A27F8E" w:rsidRPr="00B535ED" w:rsidRDefault="00022F68" w:rsidP="006C2BBB">
      <w:pPr>
        <w:spacing w:after="0" w:line="240" w:lineRule="auto"/>
        <w:jc w:val="both"/>
        <w:rPr>
          <w:rFonts w:cs="Aparajita"/>
          <w:b/>
          <w:sz w:val="24"/>
          <w:szCs w:val="24"/>
        </w:rPr>
      </w:pPr>
      <w:r w:rsidRPr="00B535ED">
        <w:rPr>
          <w:rFonts w:cs="Aparajita"/>
          <w:b/>
          <w:sz w:val="24"/>
          <w:szCs w:val="24"/>
        </w:rPr>
        <w:t>About Dawson James Securities</w:t>
      </w:r>
      <w:r w:rsidR="00B535ED">
        <w:rPr>
          <w:rFonts w:cs="Aparajita"/>
          <w:b/>
          <w:sz w:val="24"/>
          <w:szCs w:val="24"/>
        </w:rPr>
        <w:t xml:space="preserve">, Inc. </w:t>
      </w:r>
    </w:p>
    <w:p w14:paraId="585464C0" w14:textId="77777777" w:rsidR="00C65734" w:rsidRPr="00B80871" w:rsidRDefault="00C65734" w:rsidP="006C2BBB">
      <w:pPr>
        <w:spacing w:after="0" w:line="240" w:lineRule="auto"/>
        <w:jc w:val="both"/>
        <w:rPr>
          <w:rFonts w:cs="Aparajita"/>
          <w:sz w:val="24"/>
          <w:szCs w:val="24"/>
        </w:rPr>
      </w:pPr>
    </w:p>
    <w:p w14:paraId="38A9EEDF" w14:textId="77777777" w:rsidR="00842F9C" w:rsidRDefault="00EC58FA" w:rsidP="006C2BBB">
      <w:pPr>
        <w:spacing w:line="240" w:lineRule="auto"/>
        <w:jc w:val="both"/>
        <w:rPr>
          <w:rFonts w:cs="Aparajita"/>
          <w:sz w:val="24"/>
          <w:szCs w:val="24"/>
        </w:rPr>
      </w:pPr>
      <w:r w:rsidRPr="00B80871">
        <w:rPr>
          <w:rFonts w:cs="Aparajita"/>
          <w:sz w:val="24"/>
          <w:szCs w:val="24"/>
        </w:rPr>
        <w:t>Dawson James Securities specialize</w:t>
      </w:r>
      <w:r w:rsidR="000140CC" w:rsidRPr="00B80871">
        <w:rPr>
          <w:rFonts w:cs="Aparajita"/>
          <w:sz w:val="24"/>
          <w:szCs w:val="24"/>
        </w:rPr>
        <w:t>s</w:t>
      </w:r>
      <w:r w:rsidRPr="00B80871">
        <w:rPr>
          <w:rFonts w:cs="Aparajita"/>
          <w:sz w:val="24"/>
          <w:szCs w:val="24"/>
        </w:rPr>
        <w:t xml:space="preserve"> in </w:t>
      </w:r>
      <w:r w:rsidR="00022F68" w:rsidRPr="00B80871">
        <w:rPr>
          <w:rFonts w:cs="Aparajita"/>
          <w:sz w:val="24"/>
          <w:szCs w:val="24"/>
        </w:rPr>
        <w:t>capital raising</w:t>
      </w:r>
      <w:r w:rsidRPr="00B80871">
        <w:rPr>
          <w:rFonts w:cs="Aparajita"/>
          <w:sz w:val="24"/>
          <w:szCs w:val="24"/>
        </w:rPr>
        <w:t xml:space="preserve"> for small and microcap</w:t>
      </w:r>
      <w:r w:rsidR="00022F68" w:rsidRPr="00B80871">
        <w:rPr>
          <w:rFonts w:cs="Aparajita"/>
          <w:sz w:val="24"/>
          <w:szCs w:val="24"/>
        </w:rPr>
        <w:t xml:space="preserve"> public and private</w:t>
      </w:r>
      <w:r w:rsidRPr="00B80871">
        <w:rPr>
          <w:rFonts w:cs="Aparajita"/>
          <w:sz w:val="24"/>
          <w:szCs w:val="24"/>
        </w:rPr>
        <w:t xml:space="preserve"> growth companies primarily in the Life Science/Health Care</w:t>
      </w:r>
      <w:r w:rsidR="00022F68" w:rsidRPr="00B80871">
        <w:rPr>
          <w:rFonts w:cs="Aparajita"/>
          <w:sz w:val="24"/>
          <w:szCs w:val="24"/>
        </w:rPr>
        <w:t>, Technology and Consumer</w:t>
      </w:r>
      <w:r w:rsidRPr="00B80871">
        <w:rPr>
          <w:rFonts w:cs="Aparajita"/>
          <w:sz w:val="24"/>
          <w:szCs w:val="24"/>
        </w:rPr>
        <w:t xml:space="preserve"> sector</w:t>
      </w:r>
      <w:r w:rsidR="00022F68" w:rsidRPr="00B80871">
        <w:rPr>
          <w:rFonts w:cs="Aparajita"/>
          <w:sz w:val="24"/>
          <w:szCs w:val="24"/>
        </w:rPr>
        <w:t>s</w:t>
      </w:r>
      <w:r w:rsidRPr="00B80871">
        <w:rPr>
          <w:rFonts w:cs="Aparajita"/>
          <w:sz w:val="24"/>
          <w:szCs w:val="24"/>
        </w:rPr>
        <w:t xml:space="preserve"> and is a full service investment banking firm with research, institutional and retail sales, </w:t>
      </w:r>
      <w:r w:rsidR="00842F9C" w:rsidRPr="00B80871">
        <w:rPr>
          <w:rFonts w:cs="Aparajita"/>
          <w:sz w:val="24"/>
          <w:szCs w:val="24"/>
        </w:rPr>
        <w:t>and execution</w:t>
      </w:r>
      <w:r w:rsidRPr="00B80871">
        <w:rPr>
          <w:rFonts w:cs="Aparajita"/>
          <w:sz w:val="24"/>
          <w:szCs w:val="24"/>
        </w:rPr>
        <w:t xml:space="preserve"> trading an</w:t>
      </w:r>
      <w:r w:rsidR="00022F68" w:rsidRPr="00B80871">
        <w:rPr>
          <w:rFonts w:cs="Aparajita"/>
          <w:sz w:val="24"/>
          <w:szCs w:val="24"/>
        </w:rPr>
        <w:t>d</w:t>
      </w:r>
      <w:r w:rsidRPr="00B80871">
        <w:rPr>
          <w:rFonts w:cs="Aparajita"/>
          <w:sz w:val="24"/>
          <w:szCs w:val="24"/>
        </w:rPr>
        <w:t xml:space="preserve"> corporate services.  </w:t>
      </w:r>
      <w:r w:rsidR="00022F68" w:rsidRPr="00B80871">
        <w:rPr>
          <w:rFonts w:cs="Aparajita"/>
          <w:sz w:val="24"/>
          <w:szCs w:val="24"/>
        </w:rPr>
        <w:t>Headquartered in Boca Raton, FL</w:t>
      </w:r>
      <w:r w:rsidR="004F7A47">
        <w:rPr>
          <w:rFonts w:cs="Aparajita"/>
          <w:sz w:val="24"/>
          <w:szCs w:val="24"/>
        </w:rPr>
        <w:t>,</w:t>
      </w:r>
      <w:r w:rsidR="00022F68" w:rsidRPr="00B80871">
        <w:rPr>
          <w:rFonts w:cs="Aparajita"/>
          <w:sz w:val="24"/>
          <w:szCs w:val="24"/>
        </w:rPr>
        <w:t xml:space="preserve"> Dawson James is privately held with offices in New</w:t>
      </w:r>
      <w:r w:rsidR="00465748">
        <w:rPr>
          <w:rFonts w:cs="Aparajita"/>
          <w:sz w:val="24"/>
          <w:szCs w:val="24"/>
        </w:rPr>
        <w:t xml:space="preserve"> York, </w:t>
      </w:r>
      <w:r w:rsidR="001A7545">
        <w:rPr>
          <w:rFonts w:cs="Aparajita"/>
          <w:sz w:val="24"/>
          <w:szCs w:val="24"/>
        </w:rPr>
        <w:t>Maryland</w:t>
      </w:r>
      <w:r w:rsidR="00D46F22">
        <w:rPr>
          <w:rFonts w:cs="Aparajita"/>
          <w:sz w:val="24"/>
          <w:szCs w:val="24"/>
        </w:rPr>
        <w:t xml:space="preserve"> and New Jersey</w:t>
      </w:r>
      <w:r w:rsidR="00022F68" w:rsidRPr="00B80871">
        <w:rPr>
          <w:rFonts w:cs="Aparajita"/>
          <w:sz w:val="24"/>
          <w:szCs w:val="24"/>
        </w:rPr>
        <w:t xml:space="preserve">. </w:t>
      </w:r>
      <w:r w:rsidR="00E87EC5">
        <w:rPr>
          <w:rFonts w:cs="Aparajita"/>
          <w:sz w:val="24"/>
          <w:szCs w:val="24"/>
        </w:rPr>
        <w:t xml:space="preserve"> </w:t>
      </w:r>
      <w:hyperlink r:id="rId7" w:history="1">
        <w:r w:rsidR="00E87EC5" w:rsidRPr="0091776F">
          <w:rPr>
            <w:rStyle w:val="Hyperlink"/>
            <w:rFonts w:cs="Aparajita"/>
            <w:sz w:val="24"/>
            <w:szCs w:val="24"/>
          </w:rPr>
          <w:t>www.dawsonjames.com</w:t>
        </w:r>
      </w:hyperlink>
      <w:r w:rsidR="00E87EC5">
        <w:rPr>
          <w:rFonts w:cs="Aparajita"/>
          <w:sz w:val="24"/>
          <w:szCs w:val="24"/>
        </w:rPr>
        <w:t xml:space="preserve"> </w:t>
      </w:r>
    </w:p>
    <w:p w14:paraId="6A3DA1AC" w14:textId="77777777" w:rsidR="005862F4" w:rsidRDefault="005862F4" w:rsidP="006C2BBB">
      <w:pPr>
        <w:spacing w:line="240" w:lineRule="auto"/>
        <w:jc w:val="both"/>
        <w:rPr>
          <w:rFonts w:cs="Aparajita"/>
          <w:sz w:val="24"/>
          <w:szCs w:val="24"/>
        </w:rPr>
      </w:pPr>
    </w:p>
    <w:p w14:paraId="59703A52" w14:textId="77777777" w:rsidR="005862F4" w:rsidRPr="005B6F79" w:rsidRDefault="005862F4" w:rsidP="006C2BBB">
      <w:pPr>
        <w:spacing w:line="240" w:lineRule="auto"/>
        <w:jc w:val="both"/>
        <w:rPr>
          <w:rFonts w:cs="Aparajita"/>
          <w:b/>
          <w:sz w:val="24"/>
          <w:szCs w:val="24"/>
        </w:rPr>
      </w:pPr>
      <w:r w:rsidRPr="005B6F79">
        <w:rPr>
          <w:rFonts w:cs="Aparajita"/>
          <w:b/>
          <w:sz w:val="24"/>
          <w:szCs w:val="24"/>
        </w:rPr>
        <w:t>Safe Harbor Statement</w:t>
      </w:r>
    </w:p>
    <w:p w14:paraId="417A38C6" w14:textId="77777777" w:rsidR="005862F4" w:rsidRDefault="005862F4" w:rsidP="006C2BBB">
      <w:pPr>
        <w:spacing w:line="240" w:lineRule="auto"/>
        <w:jc w:val="both"/>
        <w:rPr>
          <w:rFonts w:cs="Aparajita"/>
          <w:sz w:val="24"/>
          <w:szCs w:val="24"/>
        </w:rPr>
      </w:pPr>
      <w:r>
        <w:rPr>
          <w:rFonts w:cs="Aparajita"/>
          <w:sz w:val="24"/>
          <w:szCs w:val="24"/>
        </w:rPr>
        <w:t>Safe Harbor Statement under the Private Securities Litigation Reform Act of 1995:  This news release may contain forward-looking information within the meaning of Section 27</w:t>
      </w:r>
      <w:r w:rsidR="00442FE9">
        <w:rPr>
          <w:rFonts w:cs="Aparajita"/>
          <w:sz w:val="24"/>
          <w:szCs w:val="24"/>
        </w:rPr>
        <w:t xml:space="preserve">A </w:t>
      </w:r>
      <w:r>
        <w:rPr>
          <w:rFonts w:cs="Aparajita"/>
          <w:sz w:val="24"/>
          <w:szCs w:val="24"/>
        </w:rPr>
        <w:t xml:space="preserve">Of the Securities Act of 1933, as amended, and Section 21E of the Securities Exchange Act of 1934, as amended, including statements that include the words “believes”, “expects”, “anticipates” or similar expressions. Such forward-looking statements involve known and unknown risks, uncertainties and other factors that may cause the actual results, performance or achievements of the Company to differ materially from those expressed or implied by such forward-looking statements.   </w:t>
      </w:r>
    </w:p>
    <w:p w14:paraId="08E0EDBB" w14:textId="77777777" w:rsidR="00EC58FA" w:rsidRPr="00B80871" w:rsidRDefault="00C41E2D" w:rsidP="006C2BBB">
      <w:pPr>
        <w:spacing w:line="240" w:lineRule="auto"/>
        <w:jc w:val="both"/>
        <w:rPr>
          <w:rFonts w:cs="Aparajita"/>
          <w:sz w:val="24"/>
          <w:szCs w:val="24"/>
        </w:rPr>
      </w:pPr>
      <w:r w:rsidRPr="00B80871">
        <w:rPr>
          <w:rFonts w:cs="Aparajita"/>
          <w:sz w:val="24"/>
          <w:szCs w:val="24"/>
        </w:rPr>
        <w:t xml:space="preserve">Member FINRA/SIPC.  </w:t>
      </w:r>
      <w:r w:rsidR="00022F68" w:rsidRPr="00B80871">
        <w:rPr>
          <w:rFonts w:cs="Aparajita"/>
          <w:sz w:val="24"/>
          <w:szCs w:val="24"/>
        </w:rPr>
        <w:t xml:space="preserve"> </w:t>
      </w:r>
      <w:r w:rsidR="00EC58FA" w:rsidRPr="00B80871">
        <w:rPr>
          <w:rFonts w:cs="Aparajita"/>
          <w:sz w:val="24"/>
          <w:szCs w:val="24"/>
        </w:rPr>
        <w:t>For more information, please contact:</w:t>
      </w:r>
    </w:p>
    <w:p w14:paraId="380CE4B1" w14:textId="77777777" w:rsidR="00EC58FA" w:rsidRPr="00B80871" w:rsidRDefault="00EC58FA" w:rsidP="006C2BBB">
      <w:pPr>
        <w:spacing w:after="0" w:line="240" w:lineRule="auto"/>
        <w:jc w:val="both"/>
        <w:rPr>
          <w:rFonts w:cs="Aparajita"/>
          <w:b/>
          <w:sz w:val="24"/>
          <w:szCs w:val="24"/>
        </w:rPr>
      </w:pPr>
      <w:r w:rsidRPr="00B80871">
        <w:rPr>
          <w:rFonts w:cs="Aparajita"/>
          <w:b/>
          <w:sz w:val="24"/>
          <w:szCs w:val="24"/>
        </w:rPr>
        <w:t xml:space="preserve">Elise Stern, Managing Director, </w:t>
      </w:r>
      <w:r w:rsidR="00834709">
        <w:rPr>
          <w:rFonts w:cs="Aparajita"/>
          <w:b/>
          <w:sz w:val="24"/>
          <w:szCs w:val="24"/>
        </w:rPr>
        <w:t>Head of Capital Markets</w:t>
      </w:r>
    </w:p>
    <w:p w14:paraId="61AE3842" w14:textId="77777777" w:rsidR="00EC58FA" w:rsidRPr="00B80871" w:rsidRDefault="0081063E" w:rsidP="006C2BBB">
      <w:pPr>
        <w:spacing w:after="0" w:line="240" w:lineRule="auto"/>
        <w:jc w:val="both"/>
        <w:rPr>
          <w:rFonts w:cs="Aparajita"/>
          <w:b/>
          <w:sz w:val="24"/>
          <w:szCs w:val="24"/>
        </w:rPr>
      </w:pPr>
      <w:hyperlink r:id="rId8" w:history="1">
        <w:r w:rsidR="00EC58FA" w:rsidRPr="00B80871">
          <w:rPr>
            <w:rStyle w:val="Hyperlink"/>
            <w:rFonts w:cs="Aparajita"/>
            <w:b/>
            <w:sz w:val="24"/>
            <w:szCs w:val="24"/>
          </w:rPr>
          <w:t>estern@dawsonjames.com</w:t>
        </w:r>
      </w:hyperlink>
    </w:p>
    <w:p w14:paraId="73B133A2" w14:textId="77777777" w:rsidR="00EC58FA" w:rsidRPr="00B80871" w:rsidRDefault="00EC58FA" w:rsidP="00895C4A">
      <w:pPr>
        <w:spacing w:after="0" w:line="240" w:lineRule="auto"/>
        <w:jc w:val="both"/>
        <w:rPr>
          <w:rFonts w:cs="Aparajita"/>
          <w:b/>
          <w:sz w:val="24"/>
          <w:szCs w:val="24"/>
        </w:rPr>
      </w:pPr>
      <w:r w:rsidRPr="00B80871">
        <w:rPr>
          <w:rFonts w:cs="Aparajita"/>
          <w:b/>
          <w:sz w:val="24"/>
          <w:szCs w:val="24"/>
        </w:rPr>
        <w:t>561-208-2926</w:t>
      </w:r>
    </w:p>
    <w:sectPr w:rsidR="00EC58FA" w:rsidRPr="00B80871" w:rsidSect="001E52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246D" w14:textId="77777777" w:rsidR="0081063E" w:rsidRDefault="0081063E" w:rsidP="00E34C99">
      <w:pPr>
        <w:spacing w:after="0" w:line="240" w:lineRule="auto"/>
      </w:pPr>
      <w:r>
        <w:separator/>
      </w:r>
    </w:p>
  </w:endnote>
  <w:endnote w:type="continuationSeparator" w:id="0">
    <w:p w14:paraId="68BF9E88" w14:textId="77777777" w:rsidR="0081063E" w:rsidRDefault="0081063E" w:rsidP="00E3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BA7F" w14:textId="77777777" w:rsidR="00E34C99" w:rsidRPr="00855F64" w:rsidRDefault="00E34C99" w:rsidP="00E34C99">
    <w:pPr>
      <w:pStyle w:val="Footer"/>
      <w:jc w:val="center"/>
      <w:rPr>
        <w:rFonts w:ascii="Arial" w:hAnsi="Arial" w:cs="Arial"/>
        <w:b/>
        <w:color w:val="1F497D"/>
        <w:sz w:val="20"/>
        <w:szCs w:val="18"/>
      </w:rPr>
    </w:pPr>
    <w:r w:rsidRPr="00855F64">
      <w:rPr>
        <w:rFonts w:ascii="Arial" w:hAnsi="Arial" w:cs="Arial"/>
        <w:color w:val="1F497D"/>
        <w:sz w:val="18"/>
        <w:szCs w:val="16"/>
      </w:rPr>
      <w:t xml:space="preserve">1 North Federal Highway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Suite 500 </w:t>
    </w:r>
    <w:r w:rsidRPr="00855F64">
      <w:rPr>
        <w:rFonts w:ascii="Arial" w:hAnsi="Arial" w:cs="Arial"/>
        <w:b/>
        <w:color w:val="1F497D"/>
        <w:sz w:val="20"/>
        <w:szCs w:val="18"/>
      </w:rPr>
      <w:t xml:space="preserve">• </w:t>
    </w:r>
    <w:r w:rsidRPr="00855F64">
      <w:rPr>
        <w:rFonts w:ascii="Arial" w:hAnsi="Arial" w:cs="Arial"/>
        <w:color w:val="1F497D"/>
        <w:sz w:val="18"/>
        <w:szCs w:val="18"/>
      </w:rPr>
      <w:t xml:space="preserve">Boca Raton, FL 33432 </w:t>
    </w:r>
    <w:r w:rsidRPr="00855F64">
      <w:rPr>
        <w:rFonts w:ascii="Arial" w:hAnsi="Arial" w:cs="Arial"/>
        <w:b/>
        <w:color w:val="1F497D"/>
        <w:sz w:val="20"/>
        <w:szCs w:val="18"/>
      </w:rPr>
      <w:t xml:space="preserve">• </w:t>
    </w:r>
    <w:r w:rsidRPr="00855F64">
      <w:rPr>
        <w:rFonts w:ascii="Arial" w:hAnsi="Arial" w:cs="Arial"/>
        <w:color w:val="1F497D"/>
        <w:sz w:val="18"/>
        <w:szCs w:val="18"/>
      </w:rPr>
      <w:t>Tel: (561) 391-5555</w:t>
    </w:r>
    <w:r w:rsidRPr="00855F64">
      <w:rPr>
        <w:rFonts w:ascii="Arial" w:hAnsi="Arial" w:cs="Arial"/>
        <w:b/>
        <w:color w:val="1F497D"/>
        <w:sz w:val="20"/>
        <w:szCs w:val="18"/>
      </w:rPr>
      <w:t xml:space="preserve"> • </w:t>
    </w:r>
    <w:r w:rsidRPr="00855F64">
      <w:rPr>
        <w:rFonts w:ascii="Arial" w:hAnsi="Arial" w:cs="Arial"/>
        <w:color w:val="1F497D"/>
        <w:sz w:val="18"/>
        <w:szCs w:val="18"/>
      </w:rPr>
      <w:t>Toll Free: (866) 928-0928</w:t>
    </w:r>
    <w:r w:rsidRPr="00855F64">
      <w:rPr>
        <w:rFonts w:ascii="Arial" w:hAnsi="Arial" w:cs="Arial"/>
        <w:b/>
        <w:color w:val="1F497D"/>
        <w:sz w:val="20"/>
        <w:szCs w:val="18"/>
      </w:rPr>
      <w:t xml:space="preserve"> </w:t>
    </w:r>
    <w:r w:rsidRPr="00855F64">
      <w:rPr>
        <w:rFonts w:ascii="Arial" w:hAnsi="Arial" w:cs="Arial"/>
        <w:color w:val="1F497D"/>
        <w:sz w:val="18"/>
        <w:szCs w:val="18"/>
      </w:rPr>
      <w:t>• Fax: (561) 391-5757</w:t>
    </w:r>
  </w:p>
  <w:p w14:paraId="192B8FB4" w14:textId="77777777" w:rsidR="00E34C99" w:rsidRPr="00E34C99" w:rsidRDefault="0081063E" w:rsidP="00E34C99">
    <w:pPr>
      <w:pStyle w:val="Footer"/>
      <w:jc w:val="center"/>
    </w:pPr>
    <w:hyperlink r:id="rId1" w:history="1">
      <w:r w:rsidR="00E34C99" w:rsidRPr="00855F64">
        <w:rPr>
          <w:rStyle w:val="Hyperlink"/>
          <w:rFonts w:ascii="Arial" w:hAnsi="Arial" w:cs="Arial"/>
          <w:color w:val="1F497D"/>
          <w:sz w:val="18"/>
          <w:szCs w:val="18"/>
        </w:rPr>
        <w:t>www.dawsonjames.com</w:t>
      </w:r>
    </w:hyperlink>
    <w:r w:rsidR="00E34C99" w:rsidRPr="00855F64">
      <w:rPr>
        <w:rFonts w:ascii="Arial" w:hAnsi="Arial" w:cs="Arial"/>
        <w:color w:val="1F497D"/>
        <w:sz w:val="18"/>
        <w:szCs w:val="18"/>
      </w:rPr>
      <w:t xml:space="preserve"> •   </w:t>
    </w:r>
    <w:r w:rsidR="00E34C99" w:rsidRPr="00855F64">
      <w:rPr>
        <w:rFonts w:ascii="Arial" w:hAnsi="Arial" w:cs="Arial"/>
        <w:i/>
        <w:color w:val="1F497D"/>
        <w:sz w:val="18"/>
        <w:szCs w:val="16"/>
      </w:rPr>
      <w:t>Member FINRA/SIPC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8143" w14:textId="77777777" w:rsidR="0081063E" w:rsidRDefault="0081063E" w:rsidP="00E34C99">
      <w:pPr>
        <w:spacing w:after="0" w:line="240" w:lineRule="auto"/>
      </w:pPr>
      <w:r>
        <w:separator/>
      </w:r>
    </w:p>
  </w:footnote>
  <w:footnote w:type="continuationSeparator" w:id="0">
    <w:p w14:paraId="68716EBE" w14:textId="77777777" w:rsidR="0081063E" w:rsidRDefault="0081063E" w:rsidP="00E34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3FA1" w14:textId="77777777" w:rsidR="00E34C99" w:rsidRDefault="00E34C99" w:rsidP="00E34C99">
    <w:pPr>
      <w:pStyle w:val="Header"/>
      <w:jc w:val="center"/>
    </w:pPr>
    <w:r>
      <w:rPr>
        <w:noProof/>
      </w:rPr>
      <w:drawing>
        <wp:inline distT="0" distB="0" distL="0" distR="0" wp14:anchorId="48422466" wp14:editId="2C7B2A9B">
          <wp:extent cx="3576186" cy="1005840"/>
          <wp:effectExtent l="19050" t="0" r="5214" b="0"/>
          <wp:docPr id="1" name="Picture 0" descr="DJ Logo with Member FIN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 Logo with Member FINRA.png"/>
                  <pic:cNvPicPr/>
                </pic:nvPicPr>
                <pic:blipFill>
                  <a:blip r:embed="rId1"/>
                  <a:stretch>
                    <a:fillRect/>
                  </a:stretch>
                </pic:blipFill>
                <pic:spPr>
                  <a:xfrm>
                    <a:off x="0" y="0"/>
                    <a:ext cx="3576186" cy="10058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99"/>
    <w:rsid w:val="000110FB"/>
    <w:rsid w:val="000140CC"/>
    <w:rsid w:val="00022F68"/>
    <w:rsid w:val="00026373"/>
    <w:rsid w:val="000622CE"/>
    <w:rsid w:val="00077778"/>
    <w:rsid w:val="000C1F10"/>
    <w:rsid w:val="000D4334"/>
    <w:rsid w:val="000D6A36"/>
    <w:rsid w:val="0014124E"/>
    <w:rsid w:val="001501B6"/>
    <w:rsid w:val="001562BE"/>
    <w:rsid w:val="001A6781"/>
    <w:rsid w:val="001A7545"/>
    <w:rsid w:val="001B53D2"/>
    <w:rsid w:val="001C5BCF"/>
    <w:rsid w:val="001D62B9"/>
    <w:rsid w:val="001E5266"/>
    <w:rsid w:val="00211714"/>
    <w:rsid w:val="00213C04"/>
    <w:rsid w:val="00220D2E"/>
    <w:rsid w:val="00262CBD"/>
    <w:rsid w:val="002A2D9E"/>
    <w:rsid w:val="002C02F4"/>
    <w:rsid w:val="002F2F2F"/>
    <w:rsid w:val="0030460C"/>
    <w:rsid w:val="00324FD8"/>
    <w:rsid w:val="00401F6B"/>
    <w:rsid w:val="004311B5"/>
    <w:rsid w:val="00442FE9"/>
    <w:rsid w:val="004509EA"/>
    <w:rsid w:val="00450F2C"/>
    <w:rsid w:val="00452ABA"/>
    <w:rsid w:val="00465748"/>
    <w:rsid w:val="00497BDE"/>
    <w:rsid w:val="004A4662"/>
    <w:rsid w:val="004A5287"/>
    <w:rsid w:val="004A6F76"/>
    <w:rsid w:val="004D3E5B"/>
    <w:rsid w:val="004E2ED5"/>
    <w:rsid w:val="004F7A47"/>
    <w:rsid w:val="00514AC7"/>
    <w:rsid w:val="00553D94"/>
    <w:rsid w:val="005862F4"/>
    <w:rsid w:val="00590735"/>
    <w:rsid w:val="005B6F79"/>
    <w:rsid w:val="00642986"/>
    <w:rsid w:val="00656B59"/>
    <w:rsid w:val="006B3F70"/>
    <w:rsid w:val="006C2BBB"/>
    <w:rsid w:val="006C2DBD"/>
    <w:rsid w:val="006F4E2B"/>
    <w:rsid w:val="006F6FD5"/>
    <w:rsid w:val="00703BF1"/>
    <w:rsid w:val="007328A2"/>
    <w:rsid w:val="00754743"/>
    <w:rsid w:val="00765644"/>
    <w:rsid w:val="007716FB"/>
    <w:rsid w:val="00773EE8"/>
    <w:rsid w:val="007C2787"/>
    <w:rsid w:val="007D733B"/>
    <w:rsid w:val="007E4949"/>
    <w:rsid w:val="0081063E"/>
    <w:rsid w:val="00834709"/>
    <w:rsid w:val="00842F9C"/>
    <w:rsid w:val="00895C4A"/>
    <w:rsid w:val="008E752A"/>
    <w:rsid w:val="008F4517"/>
    <w:rsid w:val="00905FC7"/>
    <w:rsid w:val="0092032B"/>
    <w:rsid w:val="009213F2"/>
    <w:rsid w:val="009253FF"/>
    <w:rsid w:val="0093269D"/>
    <w:rsid w:val="00966115"/>
    <w:rsid w:val="00967EC7"/>
    <w:rsid w:val="009B038C"/>
    <w:rsid w:val="009C02CE"/>
    <w:rsid w:val="00A27F8E"/>
    <w:rsid w:val="00A747B7"/>
    <w:rsid w:val="00A8035E"/>
    <w:rsid w:val="00AA47DF"/>
    <w:rsid w:val="00AB517E"/>
    <w:rsid w:val="00B43647"/>
    <w:rsid w:val="00B51B58"/>
    <w:rsid w:val="00B535ED"/>
    <w:rsid w:val="00B626C4"/>
    <w:rsid w:val="00B80871"/>
    <w:rsid w:val="00BD6D4F"/>
    <w:rsid w:val="00BF3F55"/>
    <w:rsid w:val="00C07F37"/>
    <w:rsid w:val="00C23093"/>
    <w:rsid w:val="00C413FF"/>
    <w:rsid w:val="00C41E2D"/>
    <w:rsid w:val="00C65734"/>
    <w:rsid w:val="00C90C7C"/>
    <w:rsid w:val="00D135AF"/>
    <w:rsid w:val="00D45B42"/>
    <w:rsid w:val="00D46F22"/>
    <w:rsid w:val="00D50A42"/>
    <w:rsid w:val="00D653A3"/>
    <w:rsid w:val="00D868AF"/>
    <w:rsid w:val="00DF06E3"/>
    <w:rsid w:val="00E270CE"/>
    <w:rsid w:val="00E34C99"/>
    <w:rsid w:val="00E60E4B"/>
    <w:rsid w:val="00E87EC5"/>
    <w:rsid w:val="00EB2FCD"/>
    <w:rsid w:val="00EC58FA"/>
    <w:rsid w:val="00F0755E"/>
    <w:rsid w:val="00FC6DC9"/>
    <w:rsid w:val="00FE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E19C"/>
  <w15:docId w15:val="{4BF21DD8-0D6B-4E03-84CB-1C7952E4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C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C99"/>
  </w:style>
  <w:style w:type="paragraph" w:styleId="Footer">
    <w:name w:val="footer"/>
    <w:basedOn w:val="Normal"/>
    <w:link w:val="FooterChar"/>
    <w:unhideWhenUsed/>
    <w:rsid w:val="00E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C99"/>
  </w:style>
  <w:style w:type="paragraph" w:styleId="BalloonText">
    <w:name w:val="Balloon Text"/>
    <w:basedOn w:val="Normal"/>
    <w:link w:val="BalloonTextChar"/>
    <w:uiPriority w:val="99"/>
    <w:semiHidden/>
    <w:unhideWhenUsed/>
    <w:rsid w:val="00E34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9"/>
    <w:rPr>
      <w:rFonts w:ascii="Tahoma" w:hAnsi="Tahoma" w:cs="Tahoma"/>
      <w:sz w:val="16"/>
      <w:szCs w:val="16"/>
    </w:rPr>
  </w:style>
  <w:style w:type="character" w:styleId="Hyperlink">
    <w:name w:val="Hyperlink"/>
    <w:rsid w:val="00E34C99"/>
    <w:rPr>
      <w:color w:val="0000FF"/>
      <w:u w:val="single"/>
    </w:rPr>
  </w:style>
  <w:style w:type="character" w:customStyle="1" w:styleId="apple-converted-space">
    <w:name w:val="apple-converted-space"/>
    <w:basedOn w:val="DefaultParagraphFont"/>
    <w:rsid w:val="00D653A3"/>
  </w:style>
  <w:style w:type="paragraph" w:styleId="ListParagraph">
    <w:name w:val="List Paragraph"/>
    <w:basedOn w:val="Normal"/>
    <w:uiPriority w:val="34"/>
    <w:qFormat/>
    <w:rsid w:val="00211714"/>
    <w:pPr>
      <w:ind w:left="720"/>
      <w:contextualSpacing/>
    </w:pPr>
    <w:rPr>
      <w:rFonts w:eastAsiaTheme="minorHAnsi"/>
    </w:rPr>
  </w:style>
  <w:style w:type="paragraph" w:styleId="NoSpacing">
    <w:name w:val="No Spacing"/>
    <w:uiPriority w:val="1"/>
    <w:qFormat/>
    <w:rsid w:val="0064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2286">
      <w:bodyDiv w:val="1"/>
      <w:marLeft w:val="0"/>
      <w:marRight w:val="0"/>
      <w:marTop w:val="0"/>
      <w:marBottom w:val="0"/>
      <w:divBdr>
        <w:top w:val="none" w:sz="0" w:space="0" w:color="auto"/>
        <w:left w:val="none" w:sz="0" w:space="0" w:color="auto"/>
        <w:bottom w:val="none" w:sz="0" w:space="0" w:color="auto"/>
        <w:right w:val="none" w:sz="0" w:space="0" w:color="auto"/>
      </w:divBdr>
    </w:div>
    <w:div w:id="1453592161">
      <w:bodyDiv w:val="1"/>
      <w:marLeft w:val="0"/>
      <w:marRight w:val="0"/>
      <w:marTop w:val="0"/>
      <w:marBottom w:val="0"/>
      <w:divBdr>
        <w:top w:val="none" w:sz="0" w:space="0" w:color="auto"/>
        <w:left w:val="none" w:sz="0" w:space="0" w:color="auto"/>
        <w:bottom w:val="none" w:sz="0" w:space="0" w:color="auto"/>
        <w:right w:val="none" w:sz="0" w:space="0" w:color="auto"/>
      </w:divBdr>
    </w:div>
    <w:div w:id="1530025203">
      <w:bodyDiv w:val="1"/>
      <w:marLeft w:val="0"/>
      <w:marRight w:val="0"/>
      <w:marTop w:val="100"/>
      <w:marBottom w:val="100"/>
      <w:divBdr>
        <w:top w:val="none" w:sz="0" w:space="0" w:color="auto"/>
        <w:left w:val="none" w:sz="0" w:space="0" w:color="auto"/>
        <w:bottom w:val="none" w:sz="0" w:space="0" w:color="auto"/>
        <w:right w:val="none" w:sz="0" w:space="0" w:color="auto"/>
      </w:divBdr>
      <w:divsChild>
        <w:div w:id="113140762">
          <w:marLeft w:val="0"/>
          <w:marRight w:val="0"/>
          <w:marTop w:val="0"/>
          <w:marBottom w:val="300"/>
          <w:divBdr>
            <w:top w:val="single" w:sz="6" w:space="15" w:color="CCCCCC"/>
            <w:left w:val="single" w:sz="6" w:space="15" w:color="CCCCCC"/>
            <w:bottom w:val="single" w:sz="6" w:space="15" w:color="CCCCCC"/>
            <w:right w:val="single" w:sz="6" w:space="15" w:color="CCCCCC"/>
          </w:divBdr>
          <w:divsChild>
            <w:div w:id="540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tern@dawsonjames.com" TargetMode="External"/><Relationship Id="rId3" Type="http://schemas.openxmlformats.org/officeDocument/2006/relationships/webSettings" Target="webSettings.xml"/><Relationship Id="rId7" Type="http://schemas.openxmlformats.org/officeDocument/2006/relationships/hyperlink" Target="http://www.dawsonjam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omapharm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wsonja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stessler</dc:creator>
  <cp:lastModifiedBy>Elise Stern</cp:lastModifiedBy>
  <cp:revision>2</cp:revision>
  <cp:lastPrinted>2017-01-24T22:22:00Z</cp:lastPrinted>
  <dcterms:created xsi:type="dcterms:W3CDTF">2018-03-07T14:38:00Z</dcterms:created>
  <dcterms:modified xsi:type="dcterms:W3CDTF">2018-03-07T14:38:00Z</dcterms:modified>
</cp:coreProperties>
</file>