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15" w:rsidRPr="00966115" w:rsidRDefault="00966115" w:rsidP="00966115">
      <w:pPr>
        <w:jc w:val="center"/>
        <w:rPr>
          <w:rFonts w:ascii="Calibri" w:hAnsi="Calibri"/>
          <w:b/>
          <w:bCs/>
          <w:color w:val="1F497D"/>
          <w:sz w:val="28"/>
          <w:szCs w:val="28"/>
        </w:rPr>
      </w:pPr>
      <w:r w:rsidRPr="00966115">
        <w:rPr>
          <w:rFonts w:ascii="Calibri" w:hAnsi="Calibri"/>
          <w:b/>
          <w:bCs/>
          <w:color w:val="1F497D"/>
          <w:sz w:val="28"/>
          <w:szCs w:val="28"/>
        </w:rPr>
        <w:t xml:space="preserve">Dawson James Securities </w:t>
      </w:r>
      <w:r>
        <w:rPr>
          <w:rFonts w:ascii="Calibri" w:hAnsi="Calibri"/>
          <w:b/>
          <w:bCs/>
          <w:color w:val="1F497D"/>
          <w:sz w:val="28"/>
          <w:szCs w:val="28"/>
        </w:rPr>
        <w:t>A</w:t>
      </w:r>
      <w:r w:rsidRPr="00966115">
        <w:rPr>
          <w:rFonts w:ascii="Calibri" w:hAnsi="Calibri"/>
          <w:b/>
          <w:bCs/>
          <w:color w:val="1F497D"/>
          <w:sz w:val="28"/>
          <w:szCs w:val="28"/>
        </w:rPr>
        <w:t xml:space="preserve">nnounces </w:t>
      </w:r>
      <w:r w:rsidR="006C2DBD">
        <w:rPr>
          <w:rFonts w:ascii="Calibri" w:hAnsi="Calibri"/>
          <w:b/>
          <w:bCs/>
          <w:color w:val="1F497D"/>
          <w:sz w:val="28"/>
          <w:szCs w:val="28"/>
        </w:rPr>
        <w:t>Closing of approximately                    $14.78</w:t>
      </w:r>
      <w:r w:rsidR="001A6F40">
        <w:rPr>
          <w:rFonts w:ascii="Calibri" w:hAnsi="Calibri"/>
          <w:b/>
          <w:bCs/>
          <w:color w:val="1F497D"/>
          <w:sz w:val="28"/>
          <w:szCs w:val="28"/>
        </w:rPr>
        <w:t>M</w:t>
      </w:r>
      <w:r w:rsidR="006C2DBD">
        <w:rPr>
          <w:rFonts w:ascii="Calibri" w:hAnsi="Calibri"/>
          <w:b/>
          <w:bCs/>
          <w:color w:val="1F497D"/>
          <w:sz w:val="28"/>
          <w:szCs w:val="28"/>
        </w:rPr>
        <w:t xml:space="preserve"> Public Offering for Biocept, Inc. </w:t>
      </w:r>
      <w:r w:rsidR="00B535ED">
        <w:rPr>
          <w:rFonts w:ascii="Calibri" w:hAnsi="Calibri"/>
          <w:b/>
          <w:bCs/>
          <w:color w:val="1F497D"/>
          <w:sz w:val="28"/>
          <w:szCs w:val="28"/>
        </w:rPr>
        <w:t xml:space="preserve"> </w:t>
      </w:r>
    </w:p>
    <w:p w:rsidR="004E2ED5" w:rsidRDefault="004E2ED5" w:rsidP="004E2ED5">
      <w:pPr>
        <w:spacing w:after="0" w:line="240" w:lineRule="auto"/>
        <w:rPr>
          <w:rFonts w:ascii="Times New Roman" w:hAnsi="Times New Roman" w:cs="Times New Roman"/>
          <w:sz w:val="24"/>
          <w:szCs w:val="24"/>
        </w:rPr>
      </w:pPr>
    </w:p>
    <w:p w:rsidR="00C65734" w:rsidRDefault="00C65734" w:rsidP="004E2ED5">
      <w:pPr>
        <w:spacing w:after="0" w:line="240" w:lineRule="auto"/>
        <w:rPr>
          <w:rFonts w:ascii="Times New Roman" w:hAnsi="Times New Roman" w:cs="Times New Roman"/>
          <w:sz w:val="24"/>
          <w:szCs w:val="24"/>
        </w:rPr>
      </w:pPr>
    </w:p>
    <w:p w:rsidR="00C65734" w:rsidRPr="00EC58FA" w:rsidRDefault="00895C4A" w:rsidP="004E2ED5">
      <w:pPr>
        <w:spacing w:after="0" w:line="240" w:lineRule="auto"/>
        <w:rPr>
          <w:rFonts w:asciiTheme="majorHAnsi" w:hAnsiTheme="majorHAnsi"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8240" behindDoc="0" locked="0" layoutInCell="1" allowOverlap="1">
                <wp:simplePos x="0" y="0"/>
                <wp:positionH relativeFrom="margin">
                  <wp:posOffset>-228600</wp:posOffset>
                </wp:positionH>
                <wp:positionV relativeFrom="paragraph">
                  <wp:posOffset>7619</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pt;margin-top:.6pt;width:7in;height:0;flip:x;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10JAIAAEU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">
                <w10:wrap anchorx="margin"/>
              </v:shape>
            </w:pict>
          </mc:Fallback>
        </mc:AlternateContent>
      </w:r>
    </w:p>
    <w:p w:rsidR="001562BE" w:rsidRPr="001A6F40" w:rsidRDefault="00D868AF" w:rsidP="00895C4A">
      <w:pPr>
        <w:autoSpaceDE w:val="0"/>
        <w:autoSpaceDN w:val="0"/>
        <w:adjustRightInd w:val="0"/>
        <w:spacing w:after="0" w:line="240" w:lineRule="auto"/>
        <w:jc w:val="both"/>
        <w:rPr>
          <w:rFonts w:cstheme="minorHAnsi"/>
          <w:sz w:val="24"/>
          <w:szCs w:val="24"/>
        </w:rPr>
      </w:pPr>
      <w:r w:rsidRPr="00B80871">
        <w:rPr>
          <w:rFonts w:cs="Aparajita"/>
          <w:b/>
          <w:sz w:val="24"/>
          <w:szCs w:val="24"/>
        </w:rPr>
        <w:t xml:space="preserve">Boca Raton, FL, </w:t>
      </w:r>
      <w:r w:rsidR="001562BE">
        <w:rPr>
          <w:rFonts w:cs="Aparajita"/>
          <w:b/>
          <w:sz w:val="24"/>
          <w:szCs w:val="24"/>
        </w:rPr>
        <w:t xml:space="preserve">January </w:t>
      </w:r>
      <w:r w:rsidR="006C2DBD">
        <w:rPr>
          <w:rFonts w:cs="Aparajita"/>
          <w:b/>
          <w:sz w:val="24"/>
          <w:szCs w:val="24"/>
        </w:rPr>
        <w:t>31</w:t>
      </w:r>
      <w:r w:rsidR="001562BE">
        <w:rPr>
          <w:rFonts w:cs="Aparajita"/>
          <w:b/>
          <w:sz w:val="24"/>
          <w:szCs w:val="24"/>
        </w:rPr>
        <w:t>, 2018</w:t>
      </w:r>
      <w:r w:rsidRPr="00B80871">
        <w:rPr>
          <w:rFonts w:cs="Aparajita"/>
          <w:sz w:val="24"/>
          <w:szCs w:val="24"/>
        </w:rPr>
        <w:t>--</w:t>
      </w:r>
      <w:r w:rsidRPr="00B80871">
        <w:rPr>
          <w:rFonts w:cs="ArialMT"/>
          <w:sz w:val="24"/>
          <w:szCs w:val="24"/>
        </w:rPr>
        <w:t xml:space="preserve"> </w:t>
      </w:r>
      <w:r w:rsidR="00B535ED" w:rsidRPr="001A6F40">
        <w:rPr>
          <w:rFonts w:cstheme="minorHAnsi"/>
          <w:sz w:val="24"/>
          <w:szCs w:val="24"/>
        </w:rPr>
        <w:t>D</w:t>
      </w:r>
      <w:r w:rsidRPr="001A6F40">
        <w:rPr>
          <w:rFonts w:cstheme="minorHAnsi"/>
          <w:sz w:val="24"/>
          <w:szCs w:val="24"/>
        </w:rPr>
        <w:t xml:space="preserve">awson James Securities, Inc. in conjunction with </w:t>
      </w:r>
      <w:r w:rsidR="006C2DBD" w:rsidRPr="001A6F40">
        <w:rPr>
          <w:rFonts w:cstheme="minorHAnsi"/>
          <w:sz w:val="24"/>
          <w:szCs w:val="24"/>
        </w:rPr>
        <w:t>Biocept, Inc. (Nasdaq: BIOC) announced today the closing of  a “best efforts” public offering of 32,854,606 shares of common stock and warrants to purchase up to an aggregate of 32,854,606 shares of common stock at a combined offering price of $.045.  The warrants have a per share exercise price of $.50, are exercisable immediately and will expire five years from the date of issuance. Biocept received proceeds from the offering of approximately $13.3</w:t>
      </w:r>
      <w:r w:rsidR="001A6F40">
        <w:rPr>
          <w:rFonts w:cstheme="minorHAnsi"/>
          <w:sz w:val="24"/>
          <w:szCs w:val="24"/>
        </w:rPr>
        <w:t>M</w:t>
      </w:r>
      <w:r w:rsidR="006C2DBD" w:rsidRPr="001A6F40">
        <w:rPr>
          <w:rFonts w:cstheme="minorHAnsi"/>
          <w:sz w:val="24"/>
          <w:szCs w:val="24"/>
        </w:rPr>
        <w:t xml:space="preserve"> and intends to use the proceeds for general corporate purposes, to fund ongoing operations and expansion of </w:t>
      </w:r>
      <w:bookmarkStart w:id="0" w:name="_GoBack"/>
      <w:bookmarkEnd w:id="0"/>
      <w:r w:rsidR="006C2DBD" w:rsidRPr="001A6F40">
        <w:rPr>
          <w:rFonts w:cstheme="minorHAnsi"/>
          <w:sz w:val="24"/>
          <w:szCs w:val="24"/>
        </w:rPr>
        <w:t xml:space="preserve">its business, and to service its existing indebtedness. </w:t>
      </w:r>
    </w:p>
    <w:p w:rsidR="001562BE" w:rsidRPr="001A6F40" w:rsidRDefault="001562BE" w:rsidP="00895C4A">
      <w:pPr>
        <w:autoSpaceDE w:val="0"/>
        <w:autoSpaceDN w:val="0"/>
        <w:adjustRightInd w:val="0"/>
        <w:spacing w:after="0" w:line="240" w:lineRule="auto"/>
        <w:jc w:val="both"/>
        <w:rPr>
          <w:rFonts w:cstheme="minorHAnsi"/>
          <w:sz w:val="24"/>
          <w:szCs w:val="24"/>
        </w:rPr>
      </w:pPr>
    </w:p>
    <w:p w:rsidR="00B535ED" w:rsidRPr="001A6F40" w:rsidRDefault="001562BE" w:rsidP="00895C4A">
      <w:pPr>
        <w:autoSpaceDE w:val="0"/>
        <w:autoSpaceDN w:val="0"/>
        <w:adjustRightInd w:val="0"/>
        <w:spacing w:after="0" w:line="240" w:lineRule="auto"/>
        <w:jc w:val="both"/>
        <w:rPr>
          <w:rFonts w:cstheme="minorHAnsi"/>
          <w:sz w:val="24"/>
          <w:szCs w:val="24"/>
        </w:rPr>
      </w:pPr>
      <w:r w:rsidRPr="001A6F40">
        <w:rPr>
          <w:rFonts w:cstheme="minorHAnsi"/>
          <w:sz w:val="24"/>
          <w:szCs w:val="24"/>
        </w:rPr>
        <w:t xml:space="preserve">Dawson James Securities, Inc. and </w:t>
      </w:r>
      <w:r w:rsidR="006C2DBD" w:rsidRPr="001A6F40">
        <w:rPr>
          <w:rFonts w:cstheme="minorHAnsi"/>
          <w:sz w:val="24"/>
          <w:szCs w:val="24"/>
        </w:rPr>
        <w:t>Westpark Capital, Inc.</w:t>
      </w:r>
      <w:r w:rsidRPr="001A6F40">
        <w:rPr>
          <w:rFonts w:cstheme="minorHAnsi"/>
          <w:sz w:val="24"/>
          <w:szCs w:val="24"/>
        </w:rPr>
        <w:t xml:space="preserve"> acted as </w:t>
      </w:r>
      <w:r w:rsidR="006C2DBD" w:rsidRPr="001A6F40">
        <w:rPr>
          <w:rFonts w:cstheme="minorHAnsi"/>
          <w:sz w:val="24"/>
          <w:szCs w:val="24"/>
        </w:rPr>
        <w:t xml:space="preserve">placement agents in connection with the offering.  Dawson James Securities, Inc., served as sole book runner.  </w:t>
      </w:r>
    </w:p>
    <w:p w:rsidR="00B535ED" w:rsidRPr="001A6F40" w:rsidRDefault="00B535ED" w:rsidP="00895C4A">
      <w:pPr>
        <w:autoSpaceDE w:val="0"/>
        <w:autoSpaceDN w:val="0"/>
        <w:adjustRightInd w:val="0"/>
        <w:spacing w:after="0" w:line="240" w:lineRule="auto"/>
        <w:jc w:val="both"/>
        <w:rPr>
          <w:rFonts w:cstheme="minorHAnsi"/>
          <w:sz w:val="24"/>
          <w:szCs w:val="24"/>
        </w:rPr>
      </w:pPr>
    </w:p>
    <w:p w:rsidR="00211714" w:rsidRPr="001A6F40" w:rsidRDefault="00211714" w:rsidP="00211714">
      <w:pPr>
        <w:pStyle w:val="ListParagraph"/>
        <w:spacing w:line="240" w:lineRule="auto"/>
        <w:ind w:left="0"/>
        <w:jc w:val="both"/>
        <w:rPr>
          <w:rFonts w:cstheme="minorHAnsi"/>
          <w:sz w:val="24"/>
          <w:szCs w:val="24"/>
        </w:rPr>
      </w:pPr>
      <w:r w:rsidRPr="001A6F40">
        <w:rPr>
          <w:rFonts w:cstheme="minorHAnsi"/>
          <w:sz w:val="24"/>
          <w:szCs w:val="24"/>
        </w:rPr>
        <w:t xml:space="preserve">The shares described above were offered by </w:t>
      </w:r>
      <w:r w:rsidR="006C2DBD" w:rsidRPr="001A6F40">
        <w:rPr>
          <w:rFonts w:cstheme="minorHAnsi"/>
          <w:sz w:val="24"/>
          <w:szCs w:val="24"/>
        </w:rPr>
        <w:t xml:space="preserve">Biocept, Inc. </w:t>
      </w:r>
      <w:r w:rsidR="00B535ED" w:rsidRPr="001A6F40">
        <w:rPr>
          <w:rFonts w:cstheme="minorHAnsi"/>
          <w:sz w:val="24"/>
          <w:szCs w:val="24"/>
        </w:rPr>
        <w:t xml:space="preserve"> </w:t>
      </w:r>
      <w:r w:rsidRPr="001A6F40">
        <w:rPr>
          <w:rFonts w:cstheme="minorHAnsi"/>
          <w:sz w:val="24"/>
          <w:szCs w:val="24"/>
        </w:rPr>
        <w:t>pursuant to a registration statement previously filed with</w:t>
      </w:r>
      <w:r w:rsidR="00E270CE" w:rsidRPr="001A6F40">
        <w:rPr>
          <w:rFonts w:cstheme="minorHAnsi"/>
          <w:sz w:val="24"/>
          <w:szCs w:val="24"/>
        </w:rPr>
        <w:t>,</w:t>
      </w:r>
      <w:r w:rsidRPr="001A6F40">
        <w:rPr>
          <w:rFonts w:cstheme="minorHAnsi"/>
          <w:sz w:val="24"/>
          <w:szCs w:val="24"/>
        </w:rPr>
        <w:t xml:space="preserve"> and subsequently declared effective by the Securities and Exchange Commission (“SEC”). </w:t>
      </w:r>
      <w:r w:rsidR="00E270CE" w:rsidRPr="001A6F40">
        <w:rPr>
          <w:rFonts w:cstheme="minorHAnsi"/>
          <w:sz w:val="24"/>
          <w:szCs w:val="24"/>
        </w:rPr>
        <w:t xml:space="preserve"> </w:t>
      </w:r>
      <w:r w:rsidRPr="001A6F40">
        <w:rPr>
          <w:rFonts w:cstheme="minorHAnsi"/>
          <w:sz w:val="24"/>
          <w:szCs w:val="24"/>
        </w:rPr>
        <w:t xml:space="preserve">A final prospectus supplement relating to the offering was filed with the SEC and is available, along with the accompanying base prospectus, on the SEC's website at </w:t>
      </w:r>
      <w:hyperlink r:id="rId7" w:history="1">
        <w:r w:rsidRPr="001A6F40">
          <w:rPr>
            <w:rStyle w:val="Hyperlink"/>
            <w:rFonts w:cstheme="minorHAnsi"/>
            <w:sz w:val="24"/>
            <w:szCs w:val="24"/>
          </w:rPr>
          <w:t>http://www.sec.gov</w:t>
        </w:r>
      </w:hyperlink>
      <w:r w:rsidRPr="001A6F40">
        <w:rPr>
          <w:rFonts w:cstheme="minorHAnsi"/>
          <w:sz w:val="24"/>
          <w:szCs w:val="24"/>
        </w:rPr>
        <w:t xml:space="preserve">, or by contacting Dawson James:  1 N. Federal Hwy; Suite 500, Boca Raton, FL 33432  ATTN:  Prospectus Department.   </w:t>
      </w:r>
    </w:p>
    <w:p w:rsidR="00F0755E" w:rsidRPr="00B80871" w:rsidRDefault="00F0755E" w:rsidP="00895C4A">
      <w:pPr>
        <w:autoSpaceDE w:val="0"/>
        <w:autoSpaceDN w:val="0"/>
        <w:adjustRightInd w:val="0"/>
        <w:spacing w:after="0" w:line="240" w:lineRule="auto"/>
        <w:jc w:val="both"/>
        <w:rPr>
          <w:rFonts w:cs="Aparajita"/>
          <w:sz w:val="24"/>
          <w:szCs w:val="24"/>
        </w:rPr>
      </w:pPr>
    </w:p>
    <w:p w:rsidR="00D868AF" w:rsidRDefault="00B535ED" w:rsidP="00895C4A">
      <w:pPr>
        <w:spacing w:after="0" w:line="240" w:lineRule="auto"/>
        <w:jc w:val="both"/>
        <w:rPr>
          <w:rFonts w:cs="Aparajita"/>
          <w:b/>
          <w:sz w:val="24"/>
          <w:szCs w:val="24"/>
        </w:rPr>
      </w:pPr>
      <w:proofErr w:type="gramStart"/>
      <w:r>
        <w:rPr>
          <w:rFonts w:cs="Aparajita"/>
          <w:b/>
          <w:sz w:val="24"/>
          <w:szCs w:val="24"/>
        </w:rPr>
        <w:t xml:space="preserve">About </w:t>
      </w:r>
      <w:r w:rsidR="006C2DBD">
        <w:rPr>
          <w:rFonts w:cs="Aparajita"/>
          <w:b/>
          <w:sz w:val="24"/>
          <w:szCs w:val="24"/>
        </w:rPr>
        <w:t>Biocept, Inc.</w:t>
      </w:r>
      <w:proofErr w:type="gramEnd"/>
      <w:r w:rsidR="006C2DBD">
        <w:rPr>
          <w:rFonts w:cs="Aparajita"/>
          <w:b/>
          <w:sz w:val="24"/>
          <w:szCs w:val="24"/>
        </w:rPr>
        <w:t xml:space="preserve"> </w:t>
      </w:r>
      <w:r>
        <w:rPr>
          <w:rFonts w:cs="Aparajita"/>
          <w:b/>
          <w:sz w:val="24"/>
          <w:szCs w:val="24"/>
        </w:rPr>
        <w:t xml:space="preserve">  </w:t>
      </w:r>
    </w:p>
    <w:p w:rsidR="00B535ED" w:rsidRPr="00B80871" w:rsidRDefault="00B535ED" w:rsidP="00895C4A">
      <w:pPr>
        <w:spacing w:after="0" w:line="240" w:lineRule="auto"/>
        <w:jc w:val="both"/>
        <w:rPr>
          <w:rFonts w:cs="Aparajita"/>
          <w:b/>
          <w:sz w:val="24"/>
          <w:szCs w:val="24"/>
        </w:rPr>
      </w:pPr>
    </w:p>
    <w:p w:rsidR="00D46F22" w:rsidRPr="000D4334" w:rsidRDefault="006C2DBD" w:rsidP="00895C4A">
      <w:pPr>
        <w:spacing w:after="0" w:line="240" w:lineRule="auto"/>
        <w:jc w:val="both"/>
        <w:rPr>
          <w:rFonts w:cs="Aparajita"/>
          <w:sz w:val="24"/>
          <w:szCs w:val="24"/>
        </w:rPr>
      </w:pPr>
      <w:r>
        <w:rPr>
          <w:rFonts w:cs="Aparajita"/>
          <w:sz w:val="24"/>
          <w:szCs w:val="24"/>
        </w:rPr>
        <w:t>Biocept, Inc</w:t>
      </w:r>
      <w:proofErr w:type="gramStart"/>
      <w:r>
        <w:rPr>
          <w:rFonts w:cs="Aparajita"/>
          <w:sz w:val="24"/>
          <w:szCs w:val="24"/>
        </w:rPr>
        <w:t>.,</w:t>
      </w:r>
      <w:proofErr w:type="gramEnd"/>
      <w:r>
        <w:rPr>
          <w:rFonts w:cs="Aparajita"/>
          <w:sz w:val="24"/>
          <w:szCs w:val="24"/>
        </w:rPr>
        <w:t xml:space="preserve"> is a molecular diagnostics company with commercialized assays for lung, breast, gastric, colorectal and prostate cancers and melanoma.  The Company uses its proprietary liquid biopsy technology to provide physicians with information for treating and monitoring patients diagnosed with cancer.  The Company’s patented Target Selector</w:t>
      </w:r>
      <w:r>
        <w:rPr>
          <w:rFonts w:cstheme="minorHAnsi"/>
          <w:sz w:val="24"/>
          <w:szCs w:val="24"/>
        </w:rPr>
        <w:t>™</w:t>
      </w:r>
      <w:r>
        <w:rPr>
          <w:rFonts w:cs="Aparajita"/>
          <w:sz w:val="24"/>
          <w:szCs w:val="24"/>
        </w:rPr>
        <w:t xml:space="preserve"> liquid biopsy technology platform captures and analyzes tumor-associated molecular markers in both circulating tumor cells (CTCs) and in plasma (</w:t>
      </w:r>
      <w:proofErr w:type="spellStart"/>
      <w:r>
        <w:rPr>
          <w:rFonts w:cs="Aparajita"/>
          <w:sz w:val="24"/>
          <w:szCs w:val="24"/>
        </w:rPr>
        <w:t>ctDNA</w:t>
      </w:r>
      <w:proofErr w:type="spellEnd"/>
      <w:r>
        <w:rPr>
          <w:rFonts w:cs="Aparajita"/>
          <w:sz w:val="24"/>
          <w:szCs w:val="24"/>
        </w:rPr>
        <w:t xml:space="preserve">).  With thousands of tests performed, the platform has demonstrated the ability to identify cancer mutations and alterations to inform physicians about a patient’s disease and therapeutic options. For additional information, please visit </w:t>
      </w:r>
      <w:hyperlink r:id="rId8" w:history="1">
        <w:r w:rsidRPr="00F11E14">
          <w:rPr>
            <w:rStyle w:val="Hyperlink"/>
            <w:rFonts w:cs="Aparajita"/>
            <w:sz w:val="24"/>
            <w:szCs w:val="24"/>
          </w:rPr>
          <w:t>www.biocept.com</w:t>
        </w:r>
      </w:hyperlink>
      <w:r>
        <w:rPr>
          <w:rFonts w:cs="Aparajita"/>
          <w:sz w:val="24"/>
          <w:szCs w:val="24"/>
        </w:rPr>
        <w:t xml:space="preserve">  </w:t>
      </w:r>
    </w:p>
    <w:p w:rsidR="00B535ED" w:rsidRDefault="00B535ED" w:rsidP="00895C4A">
      <w:pPr>
        <w:spacing w:after="0" w:line="240" w:lineRule="auto"/>
        <w:jc w:val="both"/>
        <w:rPr>
          <w:rFonts w:cs="Aparajita"/>
          <w:b/>
          <w:sz w:val="24"/>
          <w:szCs w:val="24"/>
        </w:rPr>
      </w:pPr>
    </w:p>
    <w:p w:rsidR="00B535ED" w:rsidRDefault="00B535ED" w:rsidP="00895C4A">
      <w:pPr>
        <w:spacing w:after="0" w:line="240" w:lineRule="auto"/>
        <w:jc w:val="both"/>
        <w:rPr>
          <w:rFonts w:cs="Aparajita"/>
          <w:b/>
          <w:sz w:val="24"/>
          <w:szCs w:val="24"/>
        </w:rPr>
      </w:pPr>
    </w:p>
    <w:p w:rsidR="00B535ED" w:rsidRDefault="00B535ED" w:rsidP="00B535ED">
      <w:pPr>
        <w:spacing w:after="0" w:line="240" w:lineRule="auto"/>
        <w:jc w:val="both"/>
        <w:rPr>
          <w:rFonts w:cs="Aparajita"/>
          <w:sz w:val="24"/>
          <w:szCs w:val="24"/>
        </w:rPr>
      </w:pPr>
    </w:p>
    <w:p w:rsidR="006C2DBD" w:rsidRDefault="006C2DBD" w:rsidP="00B535ED">
      <w:pPr>
        <w:spacing w:after="0" w:line="240" w:lineRule="auto"/>
        <w:jc w:val="both"/>
        <w:rPr>
          <w:rFonts w:cs="Aparajita"/>
          <w:sz w:val="24"/>
          <w:szCs w:val="24"/>
        </w:rPr>
      </w:pPr>
    </w:p>
    <w:p w:rsidR="00A27F8E" w:rsidRPr="00B535ED" w:rsidRDefault="00022F68" w:rsidP="00B535ED">
      <w:pPr>
        <w:spacing w:after="0" w:line="240" w:lineRule="auto"/>
        <w:jc w:val="both"/>
        <w:rPr>
          <w:rFonts w:cs="Aparajita"/>
          <w:b/>
          <w:sz w:val="24"/>
          <w:szCs w:val="24"/>
        </w:rPr>
      </w:pPr>
      <w:proofErr w:type="gramStart"/>
      <w:r w:rsidRPr="00B535ED">
        <w:rPr>
          <w:rFonts w:cs="Aparajita"/>
          <w:b/>
          <w:sz w:val="24"/>
          <w:szCs w:val="24"/>
        </w:rPr>
        <w:lastRenderedPageBreak/>
        <w:t>About Dawson James Securities</w:t>
      </w:r>
      <w:r w:rsidR="00B535ED">
        <w:rPr>
          <w:rFonts w:cs="Aparajita"/>
          <w:b/>
          <w:sz w:val="24"/>
          <w:szCs w:val="24"/>
        </w:rPr>
        <w:t>, Inc.</w:t>
      </w:r>
      <w:proofErr w:type="gramEnd"/>
      <w:r w:rsidR="00B535ED">
        <w:rPr>
          <w:rFonts w:cs="Aparajita"/>
          <w:b/>
          <w:sz w:val="24"/>
          <w:szCs w:val="24"/>
        </w:rPr>
        <w:t xml:space="preserve"> </w:t>
      </w:r>
    </w:p>
    <w:p w:rsidR="00C65734" w:rsidRPr="00B80871" w:rsidRDefault="00C65734" w:rsidP="00895C4A">
      <w:pPr>
        <w:spacing w:after="0" w:line="240" w:lineRule="auto"/>
        <w:jc w:val="both"/>
        <w:rPr>
          <w:rFonts w:cs="Aparajita"/>
          <w:sz w:val="24"/>
          <w:szCs w:val="24"/>
        </w:rPr>
      </w:pPr>
    </w:p>
    <w:p w:rsidR="00842F9C" w:rsidRDefault="00EC58FA" w:rsidP="00895C4A">
      <w:pPr>
        <w:spacing w:line="240" w:lineRule="auto"/>
        <w:jc w:val="both"/>
        <w:rPr>
          <w:rFonts w:cs="Aparajita"/>
          <w:sz w:val="24"/>
          <w:szCs w:val="24"/>
        </w:rPr>
      </w:pPr>
      <w:r w:rsidRPr="00B80871">
        <w:rPr>
          <w:rFonts w:cs="Aparajita"/>
          <w:sz w:val="24"/>
          <w:szCs w:val="24"/>
        </w:rPr>
        <w:t>Dawson James Securities specialize</w:t>
      </w:r>
      <w:r w:rsidR="000140CC" w:rsidRPr="00B80871">
        <w:rPr>
          <w:rFonts w:cs="Aparajita"/>
          <w:sz w:val="24"/>
          <w:szCs w:val="24"/>
        </w:rPr>
        <w:t>s</w:t>
      </w:r>
      <w:r w:rsidRPr="00B80871">
        <w:rPr>
          <w:rFonts w:cs="Aparajita"/>
          <w:sz w:val="24"/>
          <w:szCs w:val="24"/>
        </w:rPr>
        <w:t xml:space="preserve"> in </w:t>
      </w:r>
      <w:r w:rsidR="00022F68" w:rsidRPr="00B80871">
        <w:rPr>
          <w:rFonts w:cs="Aparajita"/>
          <w:sz w:val="24"/>
          <w:szCs w:val="24"/>
        </w:rPr>
        <w:t>capital raising</w:t>
      </w:r>
      <w:r w:rsidRPr="00B80871">
        <w:rPr>
          <w:rFonts w:cs="Aparajita"/>
          <w:sz w:val="24"/>
          <w:szCs w:val="24"/>
        </w:rPr>
        <w:t xml:space="preserve"> for small and microcap</w:t>
      </w:r>
      <w:r w:rsidR="00022F68" w:rsidRPr="00B80871">
        <w:rPr>
          <w:rFonts w:cs="Aparajita"/>
          <w:sz w:val="24"/>
          <w:szCs w:val="24"/>
        </w:rPr>
        <w:t xml:space="preserve"> public and private</w:t>
      </w:r>
      <w:r w:rsidRPr="00B80871">
        <w:rPr>
          <w:rFonts w:cs="Aparajita"/>
          <w:sz w:val="24"/>
          <w:szCs w:val="24"/>
        </w:rPr>
        <w:t xml:space="preserve"> growth companies primarily in the Life Science/Health Care</w:t>
      </w:r>
      <w:r w:rsidR="00022F68" w:rsidRPr="00B80871">
        <w:rPr>
          <w:rFonts w:cs="Aparajita"/>
          <w:sz w:val="24"/>
          <w:szCs w:val="24"/>
        </w:rPr>
        <w:t>, Technology and Consumer</w:t>
      </w:r>
      <w:r w:rsidRPr="00B80871">
        <w:rPr>
          <w:rFonts w:cs="Aparajita"/>
          <w:sz w:val="24"/>
          <w:szCs w:val="24"/>
        </w:rPr>
        <w:t xml:space="preserve"> sector</w:t>
      </w:r>
      <w:r w:rsidR="00022F68" w:rsidRPr="00B80871">
        <w:rPr>
          <w:rFonts w:cs="Aparajita"/>
          <w:sz w:val="24"/>
          <w:szCs w:val="24"/>
        </w:rPr>
        <w:t>s</w:t>
      </w:r>
      <w:r w:rsidRPr="00B80871">
        <w:rPr>
          <w:rFonts w:cs="Aparajita"/>
          <w:sz w:val="24"/>
          <w:szCs w:val="24"/>
        </w:rPr>
        <w:t xml:space="preserve"> and is a full service investment banking firm with research, institutional and retail sales, </w:t>
      </w:r>
      <w:r w:rsidR="00842F9C" w:rsidRPr="00B80871">
        <w:rPr>
          <w:rFonts w:cs="Aparajita"/>
          <w:sz w:val="24"/>
          <w:szCs w:val="24"/>
        </w:rPr>
        <w:t>and execution</w:t>
      </w:r>
      <w:r w:rsidRPr="00B80871">
        <w:rPr>
          <w:rFonts w:cs="Aparajita"/>
          <w:sz w:val="24"/>
          <w:szCs w:val="24"/>
        </w:rPr>
        <w:t xml:space="preserve"> trading an</w:t>
      </w:r>
      <w:r w:rsidR="00022F68" w:rsidRPr="00B80871">
        <w:rPr>
          <w:rFonts w:cs="Aparajita"/>
          <w:sz w:val="24"/>
          <w:szCs w:val="24"/>
        </w:rPr>
        <w:t>d</w:t>
      </w:r>
      <w:r w:rsidRPr="00B80871">
        <w:rPr>
          <w:rFonts w:cs="Aparajita"/>
          <w:sz w:val="24"/>
          <w:szCs w:val="24"/>
        </w:rPr>
        <w:t xml:space="preserve"> corporate services.  </w:t>
      </w:r>
      <w:r w:rsidR="00022F68" w:rsidRPr="00B80871">
        <w:rPr>
          <w:rFonts w:cs="Aparajita"/>
          <w:sz w:val="24"/>
          <w:szCs w:val="24"/>
        </w:rPr>
        <w:t>Headquartered in Boca Raton, FL</w:t>
      </w:r>
      <w:r w:rsidR="004F7A47">
        <w:rPr>
          <w:rFonts w:cs="Aparajita"/>
          <w:sz w:val="24"/>
          <w:szCs w:val="24"/>
        </w:rPr>
        <w:t>,</w:t>
      </w:r>
      <w:r w:rsidR="00022F68" w:rsidRPr="00B80871">
        <w:rPr>
          <w:rFonts w:cs="Aparajita"/>
          <w:sz w:val="24"/>
          <w:szCs w:val="24"/>
        </w:rPr>
        <w:t xml:space="preserve"> Dawson James is privately held with offices in New</w:t>
      </w:r>
      <w:r w:rsidR="00465748">
        <w:rPr>
          <w:rFonts w:cs="Aparajita"/>
          <w:sz w:val="24"/>
          <w:szCs w:val="24"/>
        </w:rPr>
        <w:t xml:space="preserve"> York, </w:t>
      </w:r>
      <w:r w:rsidR="001A7545">
        <w:rPr>
          <w:rFonts w:cs="Aparajita"/>
          <w:sz w:val="24"/>
          <w:szCs w:val="24"/>
        </w:rPr>
        <w:t>Maryland</w:t>
      </w:r>
      <w:r w:rsidR="00D46F22">
        <w:rPr>
          <w:rFonts w:cs="Aparajita"/>
          <w:sz w:val="24"/>
          <w:szCs w:val="24"/>
        </w:rPr>
        <w:t xml:space="preserve"> and New Jersey</w:t>
      </w:r>
      <w:r w:rsidR="00022F68" w:rsidRPr="00B80871">
        <w:rPr>
          <w:rFonts w:cs="Aparajita"/>
          <w:sz w:val="24"/>
          <w:szCs w:val="24"/>
        </w:rPr>
        <w:t xml:space="preserve">. </w:t>
      </w:r>
      <w:r w:rsidR="00E87EC5">
        <w:rPr>
          <w:rFonts w:cs="Aparajita"/>
          <w:sz w:val="24"/>
          <w:szCs w:val="24"/>
        </w:rPr>
        <w:t xml:space="preserve"> </w:t>
      </w:r>
      <w:hyperlink r:id="rId9" w:history="1">
        <w:r w:rsidR="00E87EC5" w:rsidRPr="0091776F">
          <w:rPr>
            <w:rStyle w:val="Hyperlink"/>
            <w:rFonts w:cs="Aparajita"/>
            <w:sz w:val="24"/>
            <w:szCs w:val="24"/>
          </w:rPr>
          <w:t>www.dawsonjames.com</w:t>
        </w:r>
      </w:hyperlink>
      <w:r w:rsidR="00E87EC5">
        <w:rPr>
          <w:rFonts w:cs="Aparajita"/>
          <w:sz w:val="24"/>
          <w:szCs w:val="24"/>
        </w:rPr>
        <w:t xml:space="preserve"> </w:t>
      </w:r>
    </w:p>
    <w:p w:rsidR="005862F4" w:rsidRDefault="005862F4" w:rsidP="00895C4A">
      <w:pPr>
        <w:spacing w:line="240" w:lineRule="auto"/>
        <w:jc w:val="both"/>
        <w:rPr>
          <w:rFonts w:cs="Aparajita"/>
          <w:sz w:val="24"/>
          <w:szCs w:val="24"/>
        </w:rPr>
      </w:pPr>
    </w:p>
    <w:p w:rsidR="005862F4" w:rsidRPr="005B6F79" w:rsidRDefault="005862F4" w:rsidP="00895C4A">
      <w:pPr>
        <w:spacing w:line="240" w:lineRule="auto"/>
        <w:jc w:val="both"/>
        <w:rPr>
          <w:rFonts w:cs="Aparajita"/>
          <w:b/>
          <w:sz w:val="24"/>
          <w:szCs w:val="24"/>
        </w:rPr>
      </w:pPr>
      <w:r w:rsidRPr="005B6F79">
        <w:rPr>
          <w:rFonts w:cs="Aparajita"/>
          <w:b/>
          <w:sz w:val="24"/>
          <w:szCs w:val="24"/>
        </w:rPr>
        <w:t>Safe Harbor Statement</w:t>
      </w:r>
    </w:p>
    <w:p w:rsidR="005862F4" w:rsidRDefault="005862F4" w:rsidP="00895C4A">
      <w:pPr>
        <w:spacing w:line="240" w:lineRule="auto"/>
        <w:jc w:val="both"/>
        <w:rPr>
          <w:rFonts w:cs="Aparajita"/>
          <w:sz w:val="24"/>
          <w:szCs w:val="24"/>
        </w:rPr>
      </w:pPr>
      <w:r>
        <w:rPr>
          <w:rFonts w:cs="Aparajita"/>
          <w:sz w:val="24"/>
          <w:szCs w:val="24"/>
        </w:rPr>
        <w:t>Safe Harbor Statement under the Private Securities Litigation Reform Act of 1995:  This news release may contain forward-looking information within the meaning of Section 27</w:t>
      </w:r>
      <w:r w:rsidR="00442FE9">
        <w:rPr>
          <w:rFonts w:cs="Aparajita"/>
          <w:sz w:val="24"/>
          <w:szCs w:val="24"/>
        </w:rPr>
        <w:t xml:space="preserve">A </w:t>
      </w:r>
      <w:r>
        <w:rPr>
          <w:rFonts w:cs="Aparajita"/>
          <w:sz w:val="24"/>
          <w:szCs w:val="24"/>
        </w:rPr>
        <w:t xml:space="preserve">Of the Securities Act of 1933, as amended, and Section 21E of the Securities Exchange Act of 1934, as amended, including statements that include the words “believes”, “expects”, “anticipates” or similar expressions. Such forward-looking statements involve known and unknown risks, uncertainties and other factors that may cause the actual results, performance or achievements of the Company to differ materially from those expressed or implied by such forward-looking statements.   </w:t>
      </w:r>
    </w:p>
    <w:p w:rsidR="00EC58FA" w:rsidRPr="00B80871" w:rsidRDefault="00C41E2D" w:rsidP="00895C4A">
      <w:pPr>
        <w:spacing w:line="240" w:lineRule="auto"/>
        <w:jc w:val="both"/>
        <w:rPr>
          <w:rFonts w:cs="Aparajita"/>
          <w:sz w:val="24"/>
          <w:szCs w:val="24"/>
        </w:rPr>
      </w:pPr>
      <w:r w:rsidRPr="00B80871">
        <w:rPr>
          <w:rFonts w:cs="Aparajita"/>
          <w:sz w:val="24"/>
          <w:szCs w:val="24"/>
        </w:rPr>
        <w:t xml:space="preserve">Member FINRA/SIPC.  </w:t>
      </w:r>
      <w:r w:rsidR="00022F68" w:rsidRPr="00B80871">
        <w:rPr>
          <w:rFonts w:cs="Aparajita"/>
          <w:sz w:val="24"/>
          <w:szCs w:val="24"/>
        </w:rPr>
        <w:t xml:space="preserve"> </w:t>
      </w:r>
      <w:r w:rsidR="00EC58FA" w:rsidRPr="00B80871">
        <w:rPr>
          <w:rFonts w:cs="Aparajita"/>
          <w:sz w:val="24"/>
          <w:szCs w:val="24"/>
        </w:rPr>
        <w:t>For more information, please contact:</w:t>
      </w:r>
    </w:p>
    <w:p w:rsidR="00EC58FA" w:rsidRPr="00B80871" w:rsidRDefault="00EC58FA" w:rsidP="00895C4A">
      <w:pPr>
        <w:spacing w:after="0" w:line="240" w:lineRule="auto"/>
        <w:jc w:val="both"/>
        <w:rPr>
          <w:rFonts w:cs="Aparajita"/>
          <w:b/>
          <w:sz w:val="24"/>
          <w:szCs w:val="24"/>
        </w:rPr>
      </w:pPr>
      <w:r w:rsidRPr="00B80871">
        <w:rPr>
          <w:rFonts w:cs="Aparajita"/>
          <w:b/>
          <w:sz w:val="24"/>
          <w:szCs w:val="24"/>
        </w:rPr>
        <w:t xml:space="preserve">Elise Stern, Managing Director, </w:t>
      </w:r>
      <w:r w:rsidR="00834709">
        <w:rPr>
          <w:rFonts w:cs="Aparajita"/>
          <w:b/>
          <w:sz w:val="24"/>
          <w:szCs w:val="24"/>
        </w:rPr>
        <w:t>Head of Capital Markets</w:t>
      </w:r>
    </w:p>
    <w:p w:rsidR="00EC58FA" w:rsidRPr="00B80871" w:rsidRDefault="0056086F" w:rsidP="00895C4A">
      <w:pPr>
        <w:spacing w:after="0" w:line="240" w:lineRule="auto"/>
        <w:jc w:val="both"/>
        <w:rPr>
          <w:rFonts w:cs="Aparajita"/>
          <w:b/>
          <w:sz w:val="24"/>
          <w:szCs w:val="24"/>
        </w:rPr>
      </w:pPr>
      <w:hyperlink r:id="rId10" w:history="1">
        <w:r w:rsidR="00EC58FA" w:rsidRPr="00B80871">
          <w:rPr>
            <w:rStyle w:val="Hyperlink"/>
            <w:rFonts w:cs="Aparajita"/>
            <w:b/>
            <w:sz w:val="24"/>
            <w:szCs w:val="24"/>
          </w:rPr>
          <w:t>estern@dawsonjames.com</w:t>
        </w:r>
      </w:hyperlink>
    </w:p>
    <w:p w:rsidR="00EC58FA" w:rsidRPr="00B80871" w:rsidRDefault="00EC58FA" w:rsidP="00895C4A">
      <w:pPr>
        <w:spacing w:after="0" w:line="240" w:lineRule="auto"/>
        <w:jc w:val="both"/>
        <w:rPr>
          <w:rFonts w:cs="Aparajita"/>
          <w:b/>
          <w:sz w:val="24"/>
          <w:szCs w:val="24"/>
        </w:rPr>
      </w:pPr>
      <w:r w:rsidRPr="00B80871">
        <w:rPr>
          <w:rFonts w:cs="Aparajita"/>
          <w:b/>
          <w:sz w:val="24"/>
          <w:szCs w:val="24"/>
        </w:rPr>
        <w:t>561-208-2926</w:t>
      </w:r>
    </w:p>
    <w:sectPr w:rsidR="00EC58FA" w:rsidRPr="00B80871" w:rsidSect="001E526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6F" w:rsidRDefault="0056086F" w:rsidP="00E34C99">
      <w:pPr>
        <w:spacing w:after="0" w:line="240" w:lineRule="auto"/>
      </w:pPr>
      <w:r>
        <w:separator/>
      </w:r>
    </w:p>
  </w:endnote>
  <w:endnote w:type="continuationSeparator" w:id="0">
    <w:p w:rsidR="0056086F" w:rsidRDefault="0056086F" w:rsidP="00E3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99" w:rsidRPr="00855F64" w:rsidRDefault="00E34C99" w:rsidP="00E34C99">
    <w:pPr>
      <w:pStyle w:val="Footer"/>
      <w:jc w:val="center"/>
      <w:rPr>
        <w:rFonts w:ascii="Arial" w:hAnsi="Arial" w:cs="Arial"/>
        <w:b/>
        <w:color w:val="1F497D"/>
        <w:sz w:val="20"/>
        <w:szCs w:val="18"/>
      </w:rPr>
    </w:pPr>
    <w:r w:rsidRPr="00855F64">
      <w:rPr>
        <w:rFonts w:ascii="Arial" w:hAnsi="Arial" w:cs="Arial"/>
        <w:color w:val="1F497D"/>
        <w:sz w:val="18"/>
        <w:szCs w:val="16"/>
      </w:rPr>
      <w:t xml:space="preserve">1 North Federal Highway </w:t>
    </w:r>
    <w:r w:rsidRPr="00855F64">
      <w:rPr>
        <w:rFonts w:ascii="Arial" w:hAnsi="Arial" w:cs="Arial"/>
        <w:b/>
        <w:color w:val="1F497D"/>
        <w:sz w:val="20"/>
        <w:szCs w:val="18"/>
      </w:rPr>
      <w:t xml:space="preserve">• </w:t>
    </w:r>
    <w:r w:rsidRPr="00855F64">
      <w:rPr>
        <w:rFonts w:ascii="Arial" w:hAnsi="Arial" w:cs="Arial"/>
        <w:color w:val="1F497D"/>
        <w:sz w:val="18"/>
        <w:szCs w:val="18"/>
      </w:rPr>
      <w:t xml:space="preserve">Suite 500 </w:t>
    </w:r>
    <w:r w:rsidRPr="00855F64">
      <w:rPr>
        <w:rFonts w:ascii="Arial" w:hAnsi="Arial" w:cs="Arial"/>
        <w:b/>
        <w:color w:val="1F497D"/>
        <w:sz w:val="20"/>
        <w:szCs w:val="18"/>
      </w:rPr>
      <w:t xml:space="preserve">• </w:t>
    </w:r>
    <w:r w:rsidRPr="00855F64">
      <w:rPr>
        <w:rFonts w:ascii="Arial" w:hAnsi="Arial" w:cs="Arial"/>
        <w:color w:val="1F497D"/>
        <w:sz w:val="18"/>
        <w:szCs w:val="18"/>
      </w:rPr>
      <w:t xml:space="preserve">Boca Raton, FL 33432 </w:t>
    </w:r>
    <w:r w:rsidRPr="00855F64">
      <w:rPr>
        <w:rFonts w:ascii="Arial" w:hAnsi="Arial" w:cs="Arial"/>
        <w:b/>
        <w:color w:val="1F497D"/>
        <w:sz w:val="20"/>
        <w:szCs w:val="18"/>
      </w:rPr>
      <w:t xml:space="preserve">• </w:t>
    </w:r>
    <w:r w:rsidRPr="00855F64">
      <w:rPr>
        <w:rFonts w:ascii="Arial" w:hAnsi="Arial" w:cs="Arial"/>
        <w:color w:val="1F497D"/>
        <w:sz w:val="18"/>
        <w:szCs w:val="18"/>
      </w:rPr>
      <w:t>Tel: (561) 391-5555</w:t>
    </w:r>
    <w:r w:rsidRPr="00855F64">
      <w:rPr>
        <w:rFonts w:ascii="Arial" w:hAnsi="Arial" w:cs="Arial"/>
        <w:b/>
        <w:color w:val="1F497D"/>
        <w:sz w:val="20"/>
        <w:szCs w:val="18"/>
      </w:rPr>
      <w:t xml:space="preserve"> • </w:t>
    </w:r>
    <w:r w:rsidRPr="00855F64">
      <w:rPr>
        <w:rFonts w:ascii="Arial" w:hAnsi="Arial" w:cs="Arial"/>
        <w:color w:val="1F497D"/>
        <w:sz w:val="18"/>
        <w:szCs w:val="18"/>
      </w:rPr>
      <w:t>Toll Free: (866) 928-0928</w:t>
    </w:r>
    <w:r w:rsidRPr="00855F64">
      <w:rPr>
        <w:rFonts w:ascii="Arial" w:hAnsi="Arial" w:cs="Arial"/>
        <w:b/>
        <w:color w:val="1F497D"/>
        <w:sz w:val="20"/>
        <w:szCs w:val="18"/>
      </w:rPr>
      <w:t xml:space="preserve"> </w:t>
    </w:r>
    <w:r w:rsidRPr="00855F64">
      <w:rPr>
        <w:rFonts w:ascii="Arial" w:hAnsi="Arial" w:cs="Arial"/>
        <w:color w:val="1F497D"/>
        <w:sz w:val="18"/>
        <w:szCs w:val="18"/>
      </w:rPr>
      <w:t>• Fax: (561) 391-5757</w:t>
    </w:r>
  </w:p>
  <w:p w:rsidR="00E34C99" w:rsidRPr="00E34C99" w:rsidRDefault="0056086F" w:rsidP="00E34C99">
    <w:pPr>
      <w:pStyle w:val="Footer"/>
      <w:jc w:val="center"/>
    </w:pPr>
    <w:hyperlink r:id="rId1" w:history="1">
      <w:r w:rsidR="00E34C99" w:rsidRPr="00855F64">
        <w:rPr>
          <w:rStyle w:val="Hyperlink"/>
          <w:rFonts w:ascii="Arial" w:hAnsi="Arial" w:cs="Arial"/>
          <w:color w:val="1F497D"/>
          <w:sz w:val="18"/>
          <w:szCs w:val="18"/>
        </w:rPr>
        <w:t>www.dawsonjames.com</w:t>
      </w:r>
    </w:hyperlink>
    <w:r w:rsidR="00E34C99" w:rsidRPr="00855F64">
      <w:rPr>
        <w:rFonts w:ascii="Arial" w:hAnsi="Arial" w:cs="Arial"/>
        <w:color w:val="1F497D"/>
        <w:sz w:val="18"/>
        <w:szCs w:val="18"/>
      </w:rPr>
      <w:t xml:space="preserve"> •   </w:t>
    </w:r>
    <w:r w:rsidR="00E34C99" w:rsidRPr="00855F64">
      <w:rPr>
        <w:rFonts w:ascii="Arial" w:hAnsi="Arial" w:cs="Arial"/>
        <w:i/>
        <w:color w:val="1F497D"/>
        <w:sz w:val="18"/>
        <w:szCs w:val="16"/>
      </w:rPr>
      <w:t>Member FINRA/SIPC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6F" w:rsidRDefault="0056086F" w:rsidP="00E34C99">
      <w:pPr>
        <w:spacing w:after="0" w:line="240" w:lineRule="auto"/>
      </w:pPr>
      <w:r>
        <w:separator/>
      </w:r>
    </w:p>
  </w:footnote>
  <w:footnote w:type="continuationSeparator" w:id="0">
    <w:p w:rsidR="0056086F" w:rsidRDefault="0056086F" w:rsidP="00E34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99" w:rsidRDefault="00E34C99" w:rsidP="00E34C99">
    <w:pPr>
      <w:pStyle w:val="Header"/>
      <w:jc w:val="center"/>
    </w:pPr>
    <w:r>
      <w:rPr>
        <w:noProof/>
      </w:rPr>
      <w:drawing>
        <wp:inline distT="0" distB="0" distL="0" distR="0">
          <wp:extent cx="3576186" cy="1005840"/>
          <wp:effectExtent l="19050" t="0" r="5214" b="0"/>
          <wp:docPr id="1" name="Picture 0" descr="DJ Logo with Member FIN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 Logo with Member FINRA.png"/>
                  <pic:cNvPicPr/>
                </pic:nvPicPr>
                <pic:blipFill>
                  <a:blip r:embed="rId1"/>
                  <a:stretch>
                    <a:fillRect/>
                  </a:stretch>
                </pic:blipFill>
                <pic:spPr>
                  <a:xfrm>
                    <a:off x="0" y="0"/>
                    <a:ext cx="3576186" cy="1005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99"/>
    <w:rsid w:val="000110FB"/>
    <w:rsid w:val="000140CC"/>
    <w:rsid w:val="00022F68"/>
    <w:rsid w:val="00026373"/>
    <w:rsid w:val="000622CE"/>
    <w:rsid w:val="00077778"/>
    <w:rsid w:val="000C1F10"/>
    <w:rsid w:val="000D4334"/>
    <w:rsid w:val="000D6A36"/>
    <w:rsid w:val="0014124E"/>
    <w:rsid w:val="001501B6"/>
    <w:rsid w:val="001562BE"/>
    <w:rsid w:val="001A6781"/>
    <w:rsid w:val="001A6F40"/>
    <w:rsid w:val="001A7545"/>
    <w:rsid w:val="001B53D2"/>
    <w:rsid w:val="001C5BCF"/>
    <w:rsid w:val="001E5266"/>
    <w:rsid w:val="00211714"/>
    <w:rsid w:val="00213C04"/>
    <w:rsid w:val="00220D2E"/>
    <w:rsid w:val="00262CBD"/>
    <w:rsid w:val="002A2D9E"/>
    <w:rsid w:val="002C02F4"/>
    <w:rsid w:val="002F2F2F"/>
    <w:rsid w:val="0030460C"/>
    <w:rsid w:val="00324FD8"/>
    <w:rsid w:val="00401F6B"/>
    <w:rsid w:val="004311B5"/>
    <w:rsid w:val="00442FE9"/>
    <w:rsid w:val="004509EA"/>
    <w:rsid w:val="00450F2C"/>
    <w:rsid w:val="00465748"/>
    <w:rsid w:val="00497BDE"/>
    <w:rsid w:val="004A4662"/>
    <w:rsid w:val="004A6F76"/>
    <w:rsid w:val="004D3E5B"/>
    <w:rsid w:val="004E2ED5"/>
    <w:rsid w:val="004F7A47"/>
    <w:rsid w:val="00514AC7"/>
    <w:rsid w:val="00553D94"/>
    <w:rsid w:val="0056086F"/>
    <w:rsid w:val="005862F4"/>
    <w:rsid w:val="00590735"/>
    <w:rsid w:val="005B6F79"/>
    <w:rsid w:val="006B3F70"/>
    <w:rsid w:val="006C2DBD"/>
    <w:rsid w:val="006F4E2B"/>
    <w:rsid w:val="006F6FD5"/>
    <w:rsid w:val="00703BF1"/>
    <w:rsid w:val="007328A2"/>
    <w:rsid w:val="00754743"/>
    <w:rsid w:val="00765644"/>
    <w:rsid w:val="007C2787"/>
    <w:rsid w:val="007D733B"/>
    <w:rsid w:val="007E4949"/>
    <w:rsid w:val="00834709"/>
    <w:rsid w:val="00842F9C"/>
    <w:rsid w:val="00895C4A"/>
    <w:rsid w:val="008E752A"/>
    <w:rsid w:val="008F4517"/>
    <w:rsid w:val="00905FC7"/>
    <w:rsid w:val="009213F2"/>
    <w:rsid w:val="009253FF"/>
    <w:rsid w:val="00966115"/>
    <w:rsid w:val="00967EC7"/>
    <w:rsid w:val="009B038C"/>
    <w:rsid w:val="009C02CE"/>
    <w:rsid w:val="00A27F8E"/>
    <w:rsid w:val="00A747B7"/>
    <w:rsid w:val="00A8035E"/>
    <w:rsid w:val="00AA47DF"/>
    <w:rsid w:val="00AB517E"/>
    <w:rsid w:val="00B43647"/>
    <w:rsid w:val="00B51B58"/>
    <w:rsid w:val="00B535ED"/>
    <w:rsid w:val="00B626C4"/>
    <w:rsid w:val="00B80871"/>
    <w:rsid w:val="00BD6D4F"/>
    <w:rsid w:val="00BF3F55"/>
    <w:rsid w:val="00C07F37"/>
    <w:rsid w:val="00C23093"/>
    <w:rsid w:val="00C413FF"/>
    <w:rsid w:val="00C41E2D"/>
    <w:rsid w:val="00C65734"/>
    <w:rsid w:val="00D135AF"/>
    <w:rsid w:val="00D45B42"/>
    <w:rsid w:val="00D46F22"/>
    <w:rsid w:val="00D50A42"/>
    <w:rsid w:val="00D653A3"/>
    <w:rsid w:val="00D868AF"/>
    <w:rsid w:val="00DF06E3"/>
    <w:rsid w:val="00E270CE"/>
    <w:rsid w:val="00E34C99"/>
    <w:rsid w:val="00E60E4B"/>
    <w:rsid w:val="00E87EC5"/>
    <w:rsid w:val="00EB2FCD"/>
    <w:rsid w:val="00EC58FA"/>
    <w:rsid w:val="00F0755E"/>
    <w:rsid w:val="00FC6DC9"/>
    <w:rsid w:val="00FE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C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C99"/>
  </w:style>
  <w:style w:type="paragraph" w:styleId="Footer">
    <w:name w:val="footer"/>
    <w:basedOn w:val="Normal"/>
    <w:link w:val="FooterChar"/>
    <w:unhideWhenUsed/>
    <w:rsid w:val="00E3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99"/>
  </w:style>
  <w:style w:type="paragraph" w:styleId="BalloonText">
    <w:name w:val="Balloon Text"/>
    <w:basedOn w:val="Normal"/>
    <w:link w:val="BalloonTextChar"/>
    <w:uiPriority w:val="99"/>
    <w:semiHidden/>
    <w:unhideWhenUsed/>
    <w:rsid w:val="00E34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C99"/>
    <w:rPr>
      <w:rFonts w:ascii="Tahoma" w:hAnsi="Tahoma" w:cs="Tahoma"/>
      <w:sz w:val="16"/>
      <w:szCs w:val="16"/>
    </w:rPr>
  </w:style>
  <w:style w:type="character" w:styleId="Hyperlink">
    <w:name w:val="Hyperlink"/>
    <w:rsid w:val="00E34C99"/>
    <w:rPr>
      <w:color w:val="0000FF"/>
      <w:u w:val="single"/>
    </w:rPr>
  </w:style>
  <w:style w:type="character" w:customStyle="1" w:styleId="apple-converted-space">
    <w:name w:val="apple-converted-space"/>
    <w:basedOn w:val="DefaultParagraphFont"/>
    <w:rsid w:val="00D653A3"/>
  </w:style>
  <w:style w:type="paragraph" w:styleId="ListParagraph">
    <w:name w:val="List Paragraph"/>
    <w:basedOn w:val="Normal"/>
    <w:uiPriority w:val="34"/>
    <w:qFormat/>
    <w:rsid w:val="00211714"/>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C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C99"/>
  </w:style>
  <w:style w:type="paragraph" w:styleId="Footer">
    <w:name w:val="footer"/>
    <w:basedOn w:val="Normal"/>
    <w:link w:val="FooterChar"/>
    <w:unhideWhenUsed/>
    <w:rsid w:val="00E3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99"/>
  </w:style>
  <w:style w:type="paragraph" w:styleId="BalloonText">
    <w:name w:val="Balloon Text"/>
    <w:basedOn w:val="Normal"/>
    <w:link w:val="BalloonTextChar"/>
    <w:uiPriority w:val="99"/>
    <w:semiHidden/>
    <w:unhideWhenUsed/>
    <w:rsid w:val="00E34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C99"/>
    <w:rPr>
      <w:rFonts w:ascii="Tahoma" w:hAnsi="Tahoma" w:cs="Tahoma"/>
      <w:sz w:val="16"/>
      <w:szCs w:val="16"/>
    </w:rPr>
  </w:style>
  <w:style w:type="character" w:styleId="Hyperlink">
    <w:name w:val="Hyperlink"/>
    <w:rsid w:val="00E34C99"/>
    <w:rPr>
      <w:color w:val="0000FF"/>
      <w:u w:val="single"/>
    </w:rPr>
  </w:style>
  <w:style w:type="character" w:customStyle="1" w:styleId="apple-converted-space">
    <w:name w:val="apple-converted-space"/>
    <w:basedOn w:val="DefaultParagraphFont"/>
    <w:rsid w:val="00D653A3"/>
  </w:style>
  <w:style w:type="paragraph" w:styleId="ListParagraph">
    <w:name w:val="List Paragraph"/>
    <w:basedOn w:val="Normal"/>
    <w:uiPriority w:val="34"/>
    <w:qFormat/>
    <w:rsid w:val="00211714"/>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2286">
      <w:bodyDiv w:val="1"/>
      <w:marLeft w:val="0"/>
      <w:marRight w:val="0"/>
      <w:marTop w:val="0"/>
      <w:marBottom w:val="0"/>
      <w:divBdr>
        <w:top w:val="none" w:sz="0" w:space="0" w:color="auto"/>
        <w:left w:val="none" w:sz="0" w:space="0" w:color="auto"/>
        <w:bottom w:val="none" w:sz="0" w:space="0" w:color="auto"/>
        <w:right w:val="none" w:sz="0" w:space="0" w:color="auto"/>
      </w:divBdr>
    </w:div>
    <w:div w:id="1453592161">
      <w:bodyDiv w:val="1"/>
      <w:marLeft w:val="0"/>
      <w:marRight w:val="0"/>
      <w:marTop w:val="0"/>
      <w:marBottom w:val="0"/>
      <w:divBdr>
        <w:top w:val="none" w:sz="0" w:space="0" w:color="auto"/>
        <w:left w:val="none" w:sz="0" w:space="0" w:color="auto"/>
        <w:bottom w:val="none" w:sz="0" w:space="0" w:color="auto"/>
        <w:right w:val="none" w:sz="0" w:space="0" w:color="auto"/>
      </w:divBdr>
    </w:div>
    <w:div w:id="1530025203">
      <w:bodyDiv w:val="1"/>
      <w:marLeft w:val="0"/>
      <w:marRight w:val="0"/>
      <w:marTop w:val="100"/>
      <w:marBottom w:val="100"/>
      <w:divBdr>
        <w:top w:val="none" w:sz="0" w:space="0" w:color="auto"/>
        <w:left w:val="none" w:sz="0" w:space="0" w:color="auto"/>
        <w:bottom w:val="none" w:sz="0" w:space="0" w:color="auto"/>
        <w:right w:val="none" w:sz="0" w:space="0" w:color="auto"/>
      </w:divBdr>
      <w:divsChild>
        <w:div w:id="113140762">
          <w:marLeft w:val="0"/>
          <w:marRight w:val="0"/>
          <w:marTop w:val="0"/>
          <w:marBottom w:val="300"/>
          <w:divBdr>
            <w:top w:val="single" w:sz="6" w:space="15" w:color="CCCCCC"/>
            <w:left w:val="single" w:sz="6" w:space="15" w:color="CCCCCC"/>
            <w:bottom w:val="single" w:sz="6" w:space="15" w:color="CCCCCC"/>
            <w:right w:val="single" w:sz="6" w:space="15" w:color="CCCCCC"/>
          </w:divBdr>
          <w:divsChild>
            <w:div w:id="5408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cep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gov"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stern@dawsonjames.com" TargetMode="External"/><Relationship Id="rId4" Type="http://schemas.openxmlformats.org/officeDocument/2006/relationships/webSettings" Target="webSettings.xml"/><Relationship Id="rId9" Type="http://schemas.openxmlformats.org/officeDocument/2006/relationships/hyperlink" Target="http://www.dawsonjame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awsonjam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stessler</dc:creator>
  <cp:lastModifiedBy>Elise Stern</cp:lastModifiedBy>
  <cp:revision>2</cp:revision>
  <cp:lastPrinted>2017-01-24T22:22:00Z</cp:lastPrinted>
  <dcterms:created xsi:type="dcterms:W3CDTF">2018-01-31T20:53:00Z</dcterms:created>
  <dcterms:modified xsi:type="dcterms:W3CDTF">2018-01-31T20:53:00Z</dcterms:modified>
</cp:coreProperties>
</file>